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5"/>
    <w:p>
      <w:pPr>
        <w:pStyle w:val="Heading1"/>
      </w:pPr>
      <w:r>
        <w:t xml:space="preserve">CHAPTER 25</w:t>
      </w:r>
    </w:p>
    <w:bookmarkEnd w:id="20"/>
    <w:bookmarkStart w:id="22" w:name="X6c9853dc566a2f87dbf6be023997f842ca72dd4"/>
    <w:p>
      <w:pPr>
        <w:pStyle w:val="Heading1"/>
      </w:pPr>
      <w:r>
        <w:t xml:space="preserve">MODULE 9 — EDUCATION ANALYTICS, FORECASTING AND DECISION SUPPORT ENGINE (EAFDSE)</w:t>
      </w:r>
    </w:p>
    <w:bookmarkStart w:id="21" w:name="overview"/>
    <w:p>
      <w:pPr>
        <w:pStyle w:val="Heading2"/>
      </w:pPr>
      <w:r>
        <w:t xml:space="preserve">25.1 Overview</w:t>
      </w:r>
    </w:p>
    <w:p>
      <w:pPr>
        <w:pStyle w:val="FirstParagraph"/>
      </w:pPr>
      <w:r>
        <w:t xml:space="preserve">The Education Analytics, Forecasting and Decision Support Engine (EAFDSE) transforms operational data collected throughout the National Education Resource Intelligence Platform into strategic information that supports planning, monitoring, budgeting, and policy development.</w:t>
      </w:r>
    </w:p>
    <w:p>
      <w:pPr>
        <w:pStyle w:val="BodyText"/>
      </w:pPr>
      <w:r>
        <w:t xml:space="preserve">By consolidating data from schools, warehouses, procurement, logistics, inspections, and inventory management, the Engine enables the Ministry to identify trends, forecast future requirements, monitor programme performance, and evaluate the effectiveness of educational resource investments.</w:t>
      </w:r>
    </w:p>
    <w:p>
      <w:pPr>
        <w:pStyle w:val="BodyText"/>
      </w:pPr>
      <w:r>
        <w:t xml:space="preserve">The Engine provides analytical recommendations that support, but do not replace, professional judgement and ministry decision-making.</w:t>
      </w:r>
    </w:p>
    <w:p>
      <w:r>
        <w:pict>
          <v:rect style="width:0;height:1.5pt" o:hralign="center" o:hrstd="t" o:hr="t"/>
        </w:pict>
      </w:r>
    </w:p>
    <w:bookmarkEnd w:id="21"/>
    <w:bookmarkEnd w:id="22"/>
    <w:bookmarkStart w:id="23" w:name="strategic-objectives"/>
    <w:p>
      <w:pPr>
        <w:pStyle w:val="Heading1"/>
      </w:pPr>
      <w:r>
        <w:t xml:space="preserve">25.2 Strategic Objectives</w:t>
      </w:r>
    </w:p>
    <w:p>
      <w:pPr>
        <w:pStyle w:val="FirstParagraph"/>
      </w:pPr>
      <w:r>
        <w:t xml:space="preserve">The Engine seeks to:</w:t>
      </w:r>
    </w:p>
    <w:p>
      <w:pPr>
        <w:pStyle w:val="Compact"/>
        <w:numPr>
          <w:ilvl w:val="0"/>
          <w:numId w:val="1001"/>
        </w:numPr>
      </w:pPr>
      <w:r>
        <w:t xml:space="preserve">Improve evidence-based planning.</w:t>
      </w:r>
    </w:p>
    <w:p>
      <w:pPr>
        <w:pStyle w:val="Compact"/>
        <w:numPr>
          <w:ilvl w:val="0"/>
          <w:numId w:val="1001"/>
        </w:numPr>
      </w:pPr>
      <w:r>
        <w:t xml:space="preserve">Support strategic budgeting.</w:t>
      </w:r>
    </w:p>
    <w:p>
      <w:pPr>
        <w:pStyle w:val="Compact"/>
        <w:numPr>
          <w:ilvl w:val="0"/>
          <w:numId w:val="1001"/>
        </w:numPr>
      </w:pPr>
      <w:r>
        <w:t xml:space="preserve">Strengthen forecasting.</w:t>
      </w:r>
    </w:p>
    <w:p>
      <w:pPr>
        <w:pStyle w:val="Compact"/>
        <w:numPr>
          <w:ilvl w:val="0"/>
          <w:numId w:val="1001"/>
        </w:numPr>
      </w:pPr>
      <w:r>
        <w:t xml:space="preserve">Detect emerging operational risks.</w:t>
      </w:r>
    </w:p>
    <w:p>
      <w:pPr>
        <w:pStyle w:val="Compact"/>
        <w:numPr>
          <w:ilvl w:val="0"/>
          <w:numId w:val="1001"/>
        </w:numPr>
      </w:pPr>
      <w:r>
        <w:t xml:space="preserve">Improve resource allocation.</w:t>
      </w:r>
    </w:p>
    <w:p>
      <w:pPr>
        <w:pStyle w:val="Compact"/>
        <w:numPr>
          <w:ilvl w:val="0"/>
          <w:numId w:val="1001"/>
        </w:numPr>
      </w:pPr>
      <w:r>
        <w:t xml:space="preserve">Support policy evaluation.</w:t>
      </w:r>
    </w:p>
    <w:p>
      <w:pPr>
        <w:pStyle w:val="Compact"/>
        <w:numPr>
          <w:ilvl w:val="0"/>
          <w:numId w:val="1001"/>
        </w:numPr>
      </w:pPr>
      <w:r>
        <w:t xml:space="preserve">Enhance executive decision-making.</w:t>
      </w:r>
    </w:p>
    <w:p>
      <w:pPr>
        <w:pStyle w:val="Compact"/>
        <w:numPr>
          <w:ilvl w:val="0"/>
          <w:numId w:val="1001"/>
        </w:numPr>
      </w:pPr>
      <w:r>
        <w:t xml:space="preserve">Strengthen programme monitoring.</w:t>
      </w:r>
    </w:p>
    <w:p>
      <w:r>
        <w:pict>
          <v:rect style="width:0;height:1.5pt" o:hralign="center" o:hrstd="t" o:hr="t"/>
        </w:pict>
      </w:r>
    </w:p>
    <w:bookmarkEnd w:id="23"/>
    <w:bookmarkStart w:id="24" w:name="analytics-architecture"/>
    <w:p>
      <w:pPr>
        <w:pStyle w:val="Heading1"/>
      </w:pPr>
      <w:r>
        <w:t xml:space="preserve">25.3 Analytics Architecture</w:t>
      </w:r>
    </w:p>
    <w:p>
      <w:pPr>
        <w:pStyle w:val="FirstParagraph"/>
      </w:pPr>
      <w:r>
        <w:rPr>
          <w:rStyle w:val="VerbatimChar"/>
        </w:rPr>
        <w:t xml:space="preserve">text id="analytics001" Operational Transactions          │          ▼ Data Validation          │          ▼ Data Warehouse          │          ▼ Analytics Engine          │  ─────────────────────────────  │         │         │  ▼         ▼         ▼ Dashboards Forecasts Reports          │          ▼ Decision Support</w:t>
      </w:r>
    </w:p>
    <w:p>
      <w:r>
        <w:pict>
          <v:rect style="width:0;height:1.5pt" o:hralign="center" o:hrstd="t" o:hr="t"/>
        </w:pict>
      </w:r>
    </w:p>
    <w:bookmarkEnd w:id="24"/>
    <w:bookmarkStart w:id="29" w:name="types-of-analytics"/>
    <w:p>
      <w:pPr>
        <w:pStyle w:val="Heading1"/>
      </w:pPr>
      <w:r>
        <w:t xml:space="preserve">25.4 Types of Analytics</w:t>
      </w:r>
    </w:p>
    <w:bookmarkStart w:id="25" w:name="descriptive-analytics"/>
    <w:p>
      <w:pPr>
        <w:pStyle w:val="Heading2"/>
      </w:pPr>
      <w:r>
        <w:t xml:space="preserve">Descriptive Analytics</w:t>
      </w:r>
    </w:p>
    <w:p>
      <w:pPr>
        <w:pStyle w:val="FirstParagraph"/>
      </w:pPr>
      <w:r>
        <w:t xml:space="preserve">Answers questions such as:</w:t>
      </w:r>
    </w:p>
    <w:p>
      <w:pPr>
        <w:pStyle w:val="Compact"/>
        <w:numPr>
          <w:ilvl w:val="0"/>
          <w:numId w:val="1002"/>
        </w:numPr>
      </w:pPr>
      <w:r>
        <w:t xml:space="preserve">What resources have been distributed?</w:t>
      </w:r>
    </w:p>
    <w:p>
      <w:pPr>
        <w:pStyle w:val="Compact"/>
        <w:numPr>
          <w:ilvl w:val="0"/>
          <w:numId w:val="1002"/>
        </w:numPr>
      </w:pPr>
      <w:r>
        <w:t xml:space="preserve">Which schools have reported?</w:t>
      </w:r>
    </w:p>
    <w:p>
      <w:pPr>
        <w:pStyle w:val="Compact"/>
        <w:numPr>
          <w:ilvl w:val="0"/>
          <w:numId w:val="1002"/>
        </w:numPr>
      </w:pPr>
      <w:r>
        <w:t xml:space="preserve">What inventory is currently available?</w:t>
      </w:r>
    </w:p>
    <w:p>
      <w:r>
        <w:pict>
          <v:rect style="width:0;height:1.5pt" o:hralign="center" o:hrstd="t" o:hr="t"/>
        </w:pict>
      </w:r>
    </w:p>
    <w:bookmarkEnd w:id="25"/>
    <w:bookmarkStart w:id="26" w:name="diagnostic-analytics"/>
    <w:p>
      <w:pPr>
        <w:pStyle w:val="Heading2"/>
      </w:pPr>
      <w:r>
        <w:t xml:space="preserve">Diagnostic Analytics</w:t>
      </w:r>
    </w:p>
    <w:p>
      <w:pPr>
        <w:pStyle w:val="FirstParagraph"/>
      </w:pPr>
      <w:r>
        <w:t xml:space="preserve">Explores questions such as:</w:t>
      </w:r>
    </w:p>
    <w:p>
      <w:pPr>
        <w:pStyle w:val="Compact"/>
        <w:numPr>
          <w:ilvl w:val="0"/>
          <w:numId w:val="1003"/>
        </w:numPr>
      </w:pPr>
      <w:r>
        <w:t xml:space="preserve">Why did shortages occur?</w:t>
      </w:r>
    </w:p>
    <w:p>
      <w:pPr>
        <w:pStyle w:val="Compact"/>
        <w:numPr>
          <w:ilvl w:val="0"/>
          <w:numId w:val="1003"/>
        </w:numPr>
      </w:pPr>
      <w:r>
        <w:t xml:space="preserve">Why are certain regions reporting delays?</w:t>
      </w:r>
    </w:p>
    <w:p>
      <w:pPr>
        <w:pStyle w:val="Compact"/>
        <w:numPr>
          <w:ilvl w:val="0"/>
          <w:numId w:val="1003"/>
        </w:numPr>
      </w:pPr>
      <w:r>
        <w:t xml:space="preserve">What factors contributed to inventory discrepancies?</w:t>
      </w:r>
    </w:p>
    <w:p>
      <w:r>
        <w:pict>
          <v:rect style="width:0;height:1.5pt" o:hralign="center" o:hrstd="t" o:hr="t"/>
        </w:pict>
      </w:r>
    </w:p>
    <w:bookmarkEnd w:id="26"/>
    <w:bookmarkStart w:id="27" w:name="predictive-analytics"/>
    <w:p>
      <w:pPr>
        <w:pStyle w:val="Heading2"/>
      </w:pPr>
      <w:r>
        <w:t xml:space="preserve">Predictive Analytics</w:t>
      </w:r>
    </w:p>
    <w:p>
      <w:pPr>
        <w:pStyle w:val="FirstParagraph"/>
      </w:pPr>
      <w:r>
        <w:t xml:space="preserve">Supports forecasting such as:</w:t>
      </w:r>
    </w:p>
    <w:p>
      <w:pPr>
        <w:pStyle w:val="Compact"/>
        <w:numPr>
          <w:ilvl w:val="0"/>
          <w:numId w:val="1004"/>
        </w:numPr>
      </w:pPr>
      <w:r>
        <w:t xml:space="preserve">Future textbook demand.</w:t>
      </w:r>
    </w:p>
    <w:p>
      <w:pPr>
        <w:pStyle w:val="Compact"/>
        <w:numPr>
          <w:ilvl w:val="0"/>
          <w:numId w:val="1004"/>
        </w:numPr>
      </w:pPr>
      <w:r>
        <w:t xml:space="preserve">Warehouse capacity requirements.</w:t>
      </w:r>
    </w:p>
    <w:p>
      <w:pPr>
        <w:pStyle w:val="Compact"/>
        <w:numPr>
          <w:ilvl w:val="0"/>
          <w:numId w:val="1004"/>
        </w:numPr>
      </w:pPr>
      <w:r>
        <w:t xml:space="preserve">Replacement needs.</w:t>
      </w:r>
    </w:p>
    <w:p>
      <w:pPr>
        <w:pStyle w:val="Compact"/>
        <w:numPr>
          <w:ilvl w:val="0"/>
          <w:numId w:val="1004"/>
        </w:numPr>
      </w:pPr>
      <w:r>
        <w:t xml:space="preserve">Seasonal distribution workloads.</w:t>
      </w:r>
    </w:p>
    <w:p>
      <w:pPr>
        <w:pStyle w:val="FirstParagraph"/>
      </w:pPr>
      <w:r>
        <w:t xml:space="preserve">Forecasts should be reviewed by authorized planners before operational decisions are made.</w:t>
      </w:r>
    </w:p>
    <w:p>
      <w:r>
        <w:pict>
          <v:rect style="width:0;height:1.5pt" o:hralign="center" o:hrstd="t" o:hr="t"/>
        </w:pict>
      </w:r>
    </w:p>
    <w:bookmarkEnd w:id="27"/>
    <w:bookmarkStart w:id="28" w:name="prescriptive-decision-support"/>
    <w:p>
      <w:pPr>
        <w:pStyle w:val="Heading2"/>
      </w:pPr>
      <w:r>
        <w:t xml:space="preserve">Prescriptive Decision Support</w:t>
      </w:r>
    </w:p>
    <w:p>
      <w:pPr>
        <w:pStyle w:val="FirstParagraph"/>
      </w:pPr>
      <w:r>
        <w:t xml:space="preserve">Provides recommendations, for example:</w:t>
      </w:r>
    </w:p>
    <w:p>
      <w:pPr>
        <w:pStyle w:val="Compact"/>
        <w:numPr>
          <w:ilvl w:val="0"/>
          <w:numId w:val="1005"/>
        </w:numPr>
      </w:pPr>
      <w:r>
        <w:t xml:space="preserve">Candidate schools for redistribution.</w:t>
      </w:r>
    </w:p>
    <w:p>
      <w:pPr>
        <w:pStyle w:val="Compact"/>
        <w:numPr>
          <w:ilvl w:val="0"/>
          <w:numId w:val="1005"/>
        </w:numPr>
      </w:pPr>
      <w:r>
        <w:t xml:space="preserve">Procurement priorities.</w:t>
      </w:r>
    </w:p>
    <w:p>
      <w:pPr>
        <w:pStyle w:val="Compact"/>
        <w:numPr>
          <w:ilvl w:val="0"/>
          <w:numId w:val="1005"/>
        </w:numPr>
      </w:pPr>
      <w:r>
        <w:t xml:space="preserve">Inspection priorities.</w:t>
      </w:r>
    </w:p>
    <w:p>
      <w:pPr>
        <w:pStyle w:val="Compact"/>
        <w:numPr>
          <w:ilvl w:val="0"/>
          <w:numId w:val="1005"/>
        </w:numPr>
      </w:pPr>
      <w:r>
        <w:t xml:space="preserve">Inventory verification priorities.</w:t>
      </w:r>
    </w:p>
    <w:p>
      <w:pPr>
        <w:pStyle w:val="FirstParagraph"/>
      </w:pPr>
      <w:r>
        <w:t xml:space="preserve">Recommendations remain advisory and are subject to ministry approval.</w:t>
      </w:r>
    </w:p>
    <w:p>
      <w:r>
        <w:pict>
          <v:rect style="width:0;height:1.5pt" o:hralign="center" o:hrstd="t" o:hr="t"/>
        </w:pict>
      </w:r>
    </w:p>
    <w:bookmarkEnd w:id="28"/>
    <w:bookmarkEnd w:id="29"/>
    <w:bookmarkStart w:id="40" w:name="operational-challenges"/>
    <w:p>
      <w:pPr>
        <w:pStyle w:val="Heading1"/>
      </w:pPr>
      <w:r>
        <w:t xml:space="preserve">25.5 Operational Challenges</w:t>
      </w:r>
    </w:p>
    <w:bookmarkStart w:id="31" w:name="problem-146"/>
    <w:p>
      <w:pPr>
        <w:pStyle w:val="Heading2"/>
      </w:pPr>
      <w:r>
        <w:t xml:space="preserve">Problem 146</w:t>
      </w:r>
    </w:p>
    <w:bookmarkStart w:id="30" w:name="limited-long-term-planning"/>
    <w:p>
      <w:pPr>
        <w:pStyle w:val="Heading3"/>
      </w:pPr>
      <w:r>
        <w:t xml:space="preserve">Limited Long-Term Planning</w:t>
      </w:r>
    </w:p>
    <w:p>
      <w:pPr>
        <w:pStyle w:val="FirstParagraph"/>
      </w:pPr>
      <w:r>
        <w:t xml:space="preserve">Planning often focuses on the current academic year.</w:t>
      </w:r>
    </w:p>
    <w:p>
      <w:pPr>
        <w:pStyle w:val="BodyText"/>
      </w:pPr>
      <w:r>
        <w:rPr>
          <w:b/>
          <w:bCs/>
        </w:rPr>
        <w:t xml:space="preserve">Solution</w:t>
      </w:r>
    </w:p>
    <w:p>
      <w:pPr>
        <w:pStyle w:val="BodyText"/>
      </w:pPr>
      <w:r>
        <w:t xml:space="preserve">Multi-year forecasting using historical operational information and approved planning assumptions.</w:t>
      </w:r>
    </w:p>
    <w:p>
      <w:r>
        <w:pict>
          <v:rect style="width:0;height:1.5pt" o:hralign="center" o:hrstd="t" o:hr="t"/>
        </w:pict>
      </w:r>
    </w:p>
    <w:bookmarkEnd w:id="30"/>
    <w:bookmarkEnd w:id="31"/>
    <w:bookmarkStart w:id="33" w:name="problem-147"/>
    <w:p>
      <w:pPr>
        <w:pStyle w:val="Heading2"/>
      </w:pPr>
      <w:r>
        <w:t xml:space="preserve">Problem 147</w:t>
      </w:r>
    </w:p>
    <w:bookmarkStart w:id="32" w:name="reactive-resource-allocation"/>
    <w:p>
      <w:pPr>
        <w:pStyle w:val="Heading3"/>
      </w:pPr>
      <w:r>
        <w:t xml:space="preserve">Reactive Resource Allocation</w:t>
      </w:r>
    </w:p>
    <w:p>
      <w:pPr>
        <w:pStyle w:val="FirstParagraph"/>
      </w:pPr>
      <w:r>
        <w:t xml:space="preserve">Interventions frequently occur after shortages are reported.</w:t>
      </w:r>
    </w:p>
    <w:p>
      <w:pPr>
        <w:pStyle w:val="BodyText"/>
      </w:pPr>
      <w:r>
        <w:rPr>
          <w:b/>
          <w:bCs/>
        </w:rPr>
        <w:t xml:space="preserve">Solution</w:t>
      </w:r>
    </w:p>
    <w:p>
      <w:pPr>
        <w:pStyle w:val="BodyText"/>
      </w:pPr>
      <w:r>
        <w:t xml:space="preserve">Early warning indicators highlighting projected shortages before they become critical.</w:t>
      </w:r>
    </w:p>
    <w:p>
      <w:r>
        <w:pict>
          <v:rect style="width:0;height:1.5pt" o:hralign="center" o:hrstd="t" o:hr="t"/>
        </w:pict>
      </w:r>
    </w:p>
    <w:bookmarkEnd w:id="32"/>
    <w:bookmarkEnd w:id="33"/>
    <w:bookmarkStart w:id="35" w:name="problem-148"/>
    <w:p>
      <w:pPr>
        <w:pStyle w:val="Heading2"/>
      </w:pPr>
      <w:r>
        <w:t xml:space="preserve">Problem 148</w:t>
      </w:r>
    </w:p>
    <w:bookmarkStart w:id="34" w:name="limited-budget-forecasting"/>
    <w:p>
      <w:pPr>
        <w:pStyle w:val="Heading3"/>
      </w:pPr>
      <w:r>
        <w:t xml:space="preserve">Limited Budget Forecasting</w:t>
      </w:r>
    </w:p>
    <w:p>
      <w:pPr>
        <w:pStyle w:val="FirstParagraph"/>
      </w:pPr>
      <w:r>
        <w:t xml:space="preserve">Estimating future replacement budgets can be difficult.</w:t>
      </w:r>
    </w:p>
    <w:p>
      <w:pPr>
        <w:pStyle w:val="BodyText"/>
      </w:pPr>
      <w:r>
        <w:rPr>
          <w:b/>
          <w:bCs/>
        </w:rPr>
        <w:t xml:space="preserve">Solution</w:t>
      </w:r>
    </w:p>
    <w:p>
      <w:pPr>
        <w:pStyle w:val="BodyText"/>
      </w:pPr>
      <w:r>
        <w:t xml:space="preserve">Lifecycle cost forecasting based on asset condition, expected service life, and replacement schedules.</w:t>
      </w:r>
    </w:p>
    <w:p>
      <w:r>
        <w:pict>
          <v:rect style="width:0;height:1.5pt" o:hralign="center" o:hrstd="t" o:hr="t"/>
        </w:pict>
      </w:r>
    </w:p>
    <w:bookmarkEnd w:id="34"/>
    <w:bookmarkEnd w:id="35"/>
    <w:bookmarkStart w:id="37" w:name="problem-149"/>
    <w:p>
      <w:pPr>
        <w:pStyle w:val="Heading2"/>
      </w:pPr>
      <w:r>
        <w:t xml:space="preserve">Problem 149</w:t>
      </w:r>
    </w:p>
    <w:bookmarkStart w:id="36" w:name="X2e24f9fb4d38b7b96d5217c5e2798480d8ce096"/>
    <w:p>
      <w:pPr>
        <w:pStyle w:val="Heading3"/>
      </w:pPr>
      <w:r>
        <w:t xml:space="preserve">Difficulty Identifying Operational Trends</w:t>
      </w:r>
    </w:p>
    <w:p>
      <w:pPr>
        <w:pStyle w:val="FirstParagraph"/>
      </w:pPr>
      <w:r>
        <w:t xml:space="preserve">Patterns may not be visible using static reports.</w:t>
      </w:r>
    </w:p>
    <w:p>
      <w:pPr>
        <w:pStyle w:val="BodyText"/>
      </w:pPr>
      <w:r>
        <w:rPr>
          <w:b/>
          <w:bCs/>
        </w:rPr>
        <w:t xml:space="preserve">Solution</w:t>
      </w:r>
    </w:p>
    <w:p>
      <w:pPr>
        <w:pStyle w:val="BodyText"/>
      </w:pPr>
      <w:r>
        <w:t xml:space="preserve">Trend analysis covering procurement, logistics, inventory, inspections, and school operations.</w:t>
      </w:r>
    </w:p>
    <w:p>
      <w:r>
        <w:pict>
          <v:rect style="width:0;height:1.5pt" o:hralign="center" o:hrstd="t" o:hr="t"/>
        </w:pict>
      </w:r>
    </w:p>
    <w:bookmarkEnd w:id="36"/>
    <w:bookmarkEnd w:id="37"/>
    <w:bookmarkStart w:id="39" w:name="problem-150"/>
    <w:p>
      <w:pPr>
        <w:pStyle w:val="Heading2"/>
      </w:pPr>
      <w:r>
        <w:t xml:space="preserve">Problem 150</w:t>
      </w:r>
    </w:p>
    <w:bookmarkStart w:id="38" w:name="limited-programme-evaluation"/>
    <w:p>
      <w:pPr>
        <w:pStyle w:val="Heading3"/>
      </w:pPr>
      <w:r>
        <w:t xml:space="preserve">Limited Programme Evaluation</w:t>
      </w:r>
    </w:p>
    <w:p>
      <w:pPr>
        <w:pStyle w:val="FirstParagraph"/>
      </w:pPr>
      <w:r>
        <w:t xml:space="preserve">Assessing programme effectiveness requires significant manual analysis.</w:t>
      </w:r>
    </w:p>
    <w:p>
      <w:pPr>
        <w:pStyle w:val="BodyText"/>
      </w:pPr>
      <w:r>
        <w:rPr>
          <w:b/>
          <w:bCs/>
        </w:rPr>
        <w:t xml:space="preserve">Solution</w:t>
      </w:r>
    </w:p>
    <w:p>
      <w:pPr>
        <w:pStyle w:val="BodyText"/>
      </w:pPr>
      <w:r>
        <w:t xml:space="preserve">Integrated programme performance analytics with configurable indicators and historical comparisons.</w:t>
      </w:r>
    </w:p>
    <w:p>
      <w:r>
        <w:pict>
          <v:rect style="width:0;height:1.5pt" o:hralign="center" o:hrstd="t" o:hr="t"/>
        </w:pict>
      </w:r>
    </w:p>
    <w:bookmarkEnd w:id="38"/>
    <w:bookmarkEnd w:id="39"/>
    <w:bookmarkEnd w:id="40"/>
    <w:bookmarkStart w:id="46" w:name="functional-requirements"/>
    <w:p>
      <w:pPr>
        <w:pStyle w:val="Heading1"/>
      </w:pPr>
      <w:r>
        <w:t xml:space="preserve">25.6 Functional Requirements</w:t>
      </w:r>
    </w:p>
    <w:bookmarkStart w:id="41" w:name="fr-ana-001"/>
    <w:p>
      <w:pPr>
        <w:pStyle w:val="Heading3"/>
      </w:pPr>
      <w:r>
        <w:t xml:space="preserve">FR-ANA-001</w:t>
      </w:r>
    </w:p>
    <w:p>
      <w:pPr>
        <w:pStyle w:val="FirstParagraph"/>
      </w:pPr>
      <w:r>
        <w:t xml:space="preserve">Executive Analytics</w:t>
      </w:r>
    </w:p>
    <w:p>
      <w:pPr>
        <w:pStyle w:val="BodyText"/>
      </w:pPr>
      <w:r>
        <w:t xml:space="preserve">Provide role-specific executive dashboards and summary indicators.</w:t>
      </w:r>
    </w:p>
    <w:p>
      <w:r>
        <w:pict>
          <v:rect style="width:0;height:1.5pt" o:hralign="center" o:hrstd="t" o:hr="t"/>
        </w:pict>
      </w:r>
    </w:p>
    <w:bookmarkEnd w:id="41"/>
    <w:bookmarkStart w:id="42" w:name="fr-ana-002"/>
    <w:p>
      <w:pPr>
        <w:pStyle w:val="Heading3"/>
      </w:pPr>
      <w:r>
        <w:t xml:space="preserve">FR-ANA-002</w:t>
      </w:r>
    </w:p>
    <w:p>
      <w:pPr>
        <w:pStyle w:val="FirstParagraph"/>
      </w:pPr>
      <w:r>
        <w:t xml:space="preserve">Forecast Generation</w:t>
      </w:r>
    </w:p>
    <w:p>
      <w:pPr>
        <w:pStyle w:val="BodyText"/>
      </w:pPr>
      <w:r>
        <w:t xml:space="preserve">Generate planning forecasts using approved analytical models and configurable assumptions.</w:t>
      </w:r>
    </w:p>
    <w:p>
      <w:r>
        <w:pict>
          <v:rect style="width:0;height:1.5pt" o:hralign="center" o:hrstd="t" o:hr="t"/>
        </w:pict>
      </w:r>
    </w:p>
    <w:bookmarkEnd w:id="42"/>
    <w:bookmarkStart w:id="43" w:name="fr-ana-003"/>
    <w:p>
      <w:pPr>
        <w:pStyle w:val="Heading3"/>
      </w:pPr>
      <w:r>
        <w:t xml:space="preserve">FR-ANA-003</w:t>
      </w:r>
    </w:p>
    <w:p>
      <w:pPr>
        <w:pStyle w:val="FirstParagraph"/>
      </w:pPr>
      <w:r>
        <w:t xml:space="preserve">Scenario Analysis</w:t>
      </w:r>
    </w:p>
    <w:p>
      <w:pPr>
        <w:pStyle w:val="BodyText"/>
      </w:pPr>
      <w:r>
        <w:t xml:space="preserve">Allow authorized planners to compare alternative planning scenarios, such as changes in enrolment or procurement volumes.</w:t>
      </w:r>
    </w:p>
    <w:p>
      <w:r>
        <w:pict>
          <v:rect style="width:0;height:1.5pt" o:hralign="center" o:hrstd="t" o:hr="t"/>
        </w:pict>
      </w:r>
    </w:p>
    <w:bookmarkEnd w:id="43"/>
    <w:bookmarkStart w:id="44" w:name="fr-ana-004"/>
    <w:p>
      <w:pPr>
        <w:pStyle w:val="Heading3"/>
      </w:pPr>
      <w:r>
        <w:t xml:space="preserve">FR-ANA-004</w:t>
      </w:r>
    </w:p>
    <w:p>
      <w:pPr>
        <w:pStyle w:val="FirstParagraph"/>
      </w:pPr>
      <w:r>
        <w:t xml:space="preserve">Operational Trend Analysis</w:t>
      </w:r>
    </w:p>
    <w:p>
      <w:pPr>
        <w:pStyle w:val="BodyText"/>
      </w:pPr>
      <w:r>
        <w:t xml:space="preserve">Analyse historical patterns across logistics, inventory, inspections, and resource utilization.</w:t>
      </w:r>
    </w:p>
    <w:p>
      <w:r>
        <w:pict>
          <v:rect style="width:0;height:1.5pt" o:hralign="center" o:hrstd="t" o:hr="t"/>
        </w:pict>
      </w:r>
    </w:p>
    <w:bookmarkEnd w:id="44"/>
    <w:bookmarkStart w:id="45" w:name="fr-ana-005"/>
    <w:p>
      <w:pPr>
        <w:pStyle w:val="Heading3"/>
      </w:pPr>
      <w:r>
        <w:t xml:space="preserve">FR-ANA-005</w:t>
      </w:r>
    </w:p>
    <w:p>
      <w:pPr>
        <w:pStyle w:val="FirstParagraph"/>
      </w:pPr>
      <w:r>
        <w:t xml:space="preserve">Decision Support Recommendations</w:t>
      </w:r>
    </w:p>
    <w:p>
      <w:pPr>
        <w:pStyle w:val="BodyText"/>
      </w:pPr>
      <w:r>
        <w:t xml:space="preserve">Generate recommendations for redistribution, procurement planning, inspection scheduling, and replacement priorities.</w:t>
      </w:r>
    </w:p>
    <w:p>
      <w:r>
        <w:pict>
          <v:rect style="width:0;height:1.5pt" o:hralign="center" o:hrstd="t" o:hr="t"/>
        </w:pict>
      </w:r>
    </w:p>
    <w:bookmarkEnd w:id="45"/>
    <w:bookmarkEnd w:id="46"/>
    <w:bookmarkStart w:id="51" w:name="decision-support-domains"/>
    <w:p>
      <w:pPr>
        <w:pStyle w:val="Heading1"/>
      </w:pPr>
      <w:r>
        <w:t xml:space="preserve">25.7 Decision Support Domains</w:t>
      </w:r>
    </w:p>
    <w:p>
      <w:pPr>
        <w:pStyle w:val="FirstParagraph"/>
      </w:pPr>
      <w:r>
        <w:t xml:space="preserve">The Engine supports analysis for:</w:t>
      </w:r>
    </w:p>
    <w:bookmarkStart w:id="47" w:name="planning"/>
    <w:p>
      <w:pPr>
        <w:pStyle w:val="Heading3"/>
      </w:pPr>
      <w:r>
        <w:t xml:space="preserve">Planning</w:t>
      </w:r>
    </w:p>
    <w:p>
      <w:pPr>
        <w:pStyle w:val="Compact"/>
        <w:numPr>
          <w:ilvl w:val="0"/>
          <w:numId w:val="1006"/>
        </w:numPr>
      </w:pPr>
      <w:r>
        <w:t xml:space="preserve">Enrolment growth.</w:t>
      </w:r>
    </w:p>
    <w:p>
      <w:pPr>
        <w:pStyle w:val="Compact"/>
        <w:numPr>
          <w:ilvl w:val="0"/>
          <w:numId w:val="1006"/>
        </w:numPr>
      </w:pPr>
      <w:r>
        <w:t xml:space="preserve">Textbook demand.</w:t>
      </w:r>
    </w:p>
    <w:p>
      <w:pPr>
        <w:pStyle w:val="Compact"/>
        <w:numPr>
          <w:ilvl w:val="0"/>
          <w:numId w:val="1006"/>
        </w:numPr>
      </w:pPr>
      <w:r>
        <w:t xml:space="preserve">Resource allocation.</w:t>
      </w:r>
    </w:p>
    <w:bookmarkEnd w:id="47"/>
    <w:bookmarkStart w:id="48" w:name="logistics"/>
    <w:p>
      <w:pPr>
        <w:pStyle w:val="Heading3"/>
      </w:pPr>
      <w:r>
        <w:t xml:space="preserve">Logistics</w:t>
      </w:r>
    </w:p>
    <w:p>
      <w:pPr>
        <w:pStyle w:val="Compact"/>
        <w:numPr>
          <w:ilvl w:val="0"/>
          <w:numId w:val="1007"/>
        </w:numPr>
      </w:pPr>
      <w:r>
        <w:t xml:space="preserve">Warehouse utilization.</w:t>
      </w:r>
    </w:p>
    <w:p>
      <w:pPr>
        <w:pStyle w:val="Compact"/>
        <w:numPr>
          <w:ilvl w:val="0"/>
          <w:numId w:val="1007"/>
        </w:numPr>
      </w:pPr>
      <w:r>
        <w:t xml:space="preserve">Distribution scheduling.</w:t>
      </w:r>
    </w:p>
    <w:p>
      <w:pPr>
        <w:pStyle w:val="Compact"/>
        <w:numPr>
          <w:ilvl w:val="0"/>
          <w:numId w:val="1007"/>
        </w:numPr>
      </w:pPr>
      <w:r>
        <w:t xml:space="preserve">Redistribution opportunities.</w:t>
      </w:r>
    </w:p>
    <w:bookmarkEnd w:id="48"/>
    <w:bookmarkStart w:id="49" w:name="asset-management"/>
    <w:p>
      <w:pPr>
        <w:pStyle w:val="Heading3"/>
      </w:pPr>
      <w:r>
        <w:t xml:space="preserve">Asset Management</w:t>
      </w:r>
    </w:p>
    <w:p>
      <w:pPr>
        <w:pStyle w:val="Compact"/>
        <w:numPr>
          <w:ilvl w:val="0"/>
          <w:numId w:val="1008"/>
        </w:numPr>
      </w:pPr>
      <w:r>
        <w:t xml:space="preserve">Condition trends.</w:t>
      </w:r>
    </w:p>
    <w:p>
      <w:pPr>
        <w:pStyle w:val="Compact"/>
        <w:numPr>
          <w:ilvl w:val="0"/>
          <w:numId w:val="1008"/>
        </w:numPr>
      </w:pPr>
      <w:r>
        <w:t xml:space="preserve">Remaining service life.</w:t>
      </w:r>
    </w:p>
    <w:p>
      <w:pPr>
        <w:pStyle w:val="Compact"/>
        <w:numPr>
          <w:ilvl w:val="0"/>
          <w:numId w:val="1008"/>
        </w:numPr>
      </w:pPr>
      <w:r>
        <w:t xml:space="preserve">Replacement priorities.</w:t>
      </w:r>
    </w:p>
    <w:bookmarkEnd w:id="49"/>
    <w:bookmarkStart w:id="50" w:name="operations"/>
    <w:p>
      <w:pPr>
        <w:pStyle w:val="Heading3"/>
      </w:pPr>
      <w:r>
        <w:t xml:space="preserve">Operations</w:t>
      </w:r>
    </w:p>
    <w:p>
      <w:pPr>
        <w:pStyle w:val="Compact"/>
        <w:numPr>
          <w:ilvl w:val="0"/>
          <w:numId w:val="1009"/>
        </w:numPr>
      </w:pPr>
      <w:r>
        <w:t xml:space="preserve">Reporting compliance.</w:t>
      </w:r>
    </w:p>
    <w:p>
      <w:pPr>
        <w:pStyle w:val="Compact"/>
        <w:numPr>
          <w:ilvl w:val="0"/>
          <w:numId w:val="1009"/>
        </w:numPr>
      </w:pPr>
      <w:r>
        <w:t xml:space="preserve">Inspection performance.</w:t>
      </w:r>
    </w:p>
    <w:p>
      <w:pPr>
        <w:pStyle w:val="Compact"/>
        <w:numPr>
          <w:ilvl w:val="0"/>
          <w:numId w:val="1009"/>
        </w:numPr>
      </w:pPr>
      <w:r>
        <w:t xml:space="preserve">Inventory accuracy.</w:t>
      </w:r>
    </w:p>
    <w:p>
      <w:r>
        <w:pict>
          <v:rect style="width:0;height:1.5pt" o:hralign="center" o:hrstd="t" o:hr="t"/>
        </w:pict>
      </w:r>
    </w:p>
    <w:bookmarkEnd w:id="50"/>
    <w:bookmarkEnd w:id="51"/>
    <w:bookmarkStart w:id="52" w:name="business-rules"/>
    <w:p>
      <w:pPr>
        <w:pStyle w:val="Heading1"/>
      </w:pPr>
      <w:r>
        <w:t xml:space="preserve">25.8 Business Rules</w:t>
      </w:r>
    </w:p>
    <w:p>
      <w:pPr>
        <w:pStyle w:val="FirstParagraph"/>
      </w:pPr>
      <w:r>
        <w:t xml:space="preserve">Examples include:</w:t>
      </w:r>
    </w:p>
    <w:p>
      <w:pPr>
        <w:pStyle w:val="Compact"/>
        <w:numPr>
          <w:ilvl w:val="0"/>
          <w:numId w:val="1010"/>
        </w:numPr>
      </w:pPr>
      <w:r>
        <w:t xml:space="preserve">Forecast assumptions are documented and version-controlled.</w:t>
      </w:r>
    </w:p>
    <w:p>
      <w:pPr>
        <w:pStyle w:val="Compact"/>
        <w:numPr>
          <w:ilvl w:val="0"/>
          <w:numId w:val="1010"/>
        </w:numPr>
      </w:pPr>
      <w:r>
        <w:t xml:space="preserve">Recommendations are advisory.</w:t>
      </w:r>
    </w:p>
    <w:p>
      <w:pPr>
        <w:pStyle w:val="Compact"/>
        <w:numPr>
          <w:ilvl w:val="0"/>
          <w:numId w:val="1010"/>
        </w:numPr>
      </w:pPr>
      <w:r>
        <w:t xml:space="preserve">Historical analytical results remain available for comparison.</w:t>
      </w:r>
    </w:p>
    <w:p>
      <w:pPr>
        <w:pStyle w:val="Compact"/>
        <w:numPr>
          <w:ilvl w:val="0"/>
          <w:numId w:val="1010"/>
        </w:numPr>
      </w:pPr>
      <w:r>
        <w:t xml:space="preserve">Only authorized users may publish official planning forecasts.</w:t>
      </w:r>
    </w:p>
    <w:p>
      <w:pPr>
        <w:pStyle w:val="Compact"/>
        <w:numPr>
          <w:ilvl w:val="0"/>
          <w:numId w:val="1010"/>
        </w:numPr>
      </w:pPr>
      <w:r>
        <w:t xml:space="preserve">Analytical models are reviewed periodically.</w:t>
      </w:r>
    </w:p>
    <w:p>
      <w:r>
        <w:pict>
          <v:rect style="width:0;height:1.5pt" o:hralign="center" o:hrstd="t" o:hr="t"/>
        </w:pict>
      </w:r>
    </w:p>
    <w:bookmarkEnd w:id="52"/>
    <w:bookmarkStart w:id="53" w:name="reports"/>
    <w:p>
      <w:pPr>
        <w:pStyle w:val="Heading1"/>
      </w:pPr>
      <w:r>
        <w:t xml:space="preserve">25.9 Reports</w:t>
      </w:r>
    </w:p>
    <w:p>
      <w:pPr>
        <w:pStyle w:val="FirstParagraph"/>
      </w:pPr>
      <w:r>
        <w:t xml:space="preserve">Illustrative reports include:</w:t>
      </w:r>
    </w:p>
    <w:p>
      <w:pPr>
        <w:pStyle w:val="Compact"/>
        <w:numPr>
          <w:ilvl w:val="0"/>
          <w:numId w:val="1011"/>
        </w:numPr>
      </w:pPr>
      <w:r>
        <w:t xml:space="preserve">Five-year textbook demand forecast.</w:t>
      </w:r>
    </w:p>
    <w:p>
      <w:pPr>
        <w:pStyle w:val="Compact"/>
        <w:numPr>
          <w:ilvl w:val="0"/>
          <w:numId w:val="1011"/>
        </w:numPr>
      </w:pPr>
      <w:r>
        <w:t xml:space="preserve">Regional inventory projections.</w:t>
      </w:r>
    </w:p>
    <w:p>
      <w:pPr>
        <w:pStyle w:val="Compact"/>
        <w:numPr>
          <w:ilvl w:val="0"/>
          <w:numId w:val="1011"/>
        </w:numPr>
      </w:pPr>
      <w:r>
        <w:t xml:space="preserve">Replacement budget estimates.</w:t>
      </w:r>
    </w:p>
    <w:p>
      <w:pPr>
        <w:pStyle w:val="Compact"/>
        <w:numPr>
          <w:ilvl w:val="0"/>
          <w:numId w:val="1011"/>
        </w:numPr>
      </w:pPr>
      <w:r>
        <w:t xml:space="preserve">Warehouse capacity forecast.</w:t>
      </w:r>
    </w:p>
    <w:p>
      <w:pPr>
        <w:pStyle w:val="Compact"/>
        <w:numPr>
          <w:ilvl w:val="0"/>
          <w:numId w:val="1011"/>
        </w:numPr>
      </w:pPr>
      <w:r>
        <w:t xml:space="preserve">Distribution performance trends.</w:t>
      </w:r>
    </w:p>
    <w:p>
      <w:pPr>
        <w:pStyle w:val="Compact"/>
        <w:numPr>
          <w:ilvl w:val="0"/>
          <w:numId w:val="1011"/>
        </w:numPr>
      </w:pPr>
      <w:r>
        <w:t xml:space="preserve">Resource utilization analysis.</w:t>
      </w:r>
    </w:p>
    <w:p>
      <w:pPr>
        <w:pStyle w:val="Compact"/>
        <w:numPr>
          <w:ilvl w:val="0"/>
          <w:numId w:val="1011"/>
        </w:numPr>
      </w:pPr>
      <w:r>
        <w:t xml:space="preserve">Programme performance review.</w:t>
      </w:r>
    </w:p>
    <w:p>
      <w:r>
        <w:pict>
          <v:rect style="width:0;height:1.5pt" o:hralign="center" o:hrstd="t" o:hr="t"/>
        </w:pict>
      </w:r>
    </w:p>
    <w:bookmarkEnd w:id="53"/>
    <w:bookmarkStart w:id="57" w:name="dashboards"/>
    <w:p>
      <w:pPr>
        <w:pStyle w:val="Heading1"/>
      </w:pPr>
      <w:r>
        <w:t xml:space="preserve">25.10 Dashboards</w:t>
      </w:r>
    </w:p>
    <w:bookmarkStart w:id="54" w:name="executive-dashboard"/>
    <w:p>
      <w:pPr>
        <w:pStyle w:val="Heading3"/>
      </w:pPr>
      <w:r>
        <w:t xml:space="preserve">Executive Dashboard</w:t>
      </w:r>
    </w:p>
    <w:p>
      <w:pPr>
        <w:pStyle w:val="Compact"/>
        <w:numPr>
          <w:ilvl w:val="0"/>
          <w:numId w:val="1012"/>
        </w:numPr>
      </w:pPr>
      <w:r>
        <w:t xml:space="preserve">National performance.</w:t>
      </w:r>
    </w:p>
    <w:p>
      <w:pPr>
        <w:pStyle w:val="Compact"/>
        <w:numPr>
          <w:ilvl w:val="0"/>
          <w:numId w:val="1012"/>
        </w:numPr>
      </w:pPr>
      <w:r>
        <w:t xml:space="preserve">Forecast summary.</w:t>
      </w:r>
    </w:p>
    <w:p>
      <w:pPr>
        <w:pStyle w:val="Compact"/>
        <w:numPr>
          <w:ilvl w:val="0"/>
          <w:numId w:val="1012"/>
        </w:numPr>
      </w:pPr>
      <w:r>
        <w:t xml:space="preserve">Budget outlook.</w:t>
      </w:r>
    </w:p>
    <w:p>
      <w:pPr>
        <w:pStyle w:val="Compact"/>
        <w:numPr>
          <w:ilvl w:val="0"/>
          <w:numId w:val="1012"/>
        </w:numPr>
      </w:pPr>
      <w:r>
        <w:t xml:space="preserve">Strategic risks.</w:t>
      </w:r>
    </w:p>
    <w:bookmarkEnd w:id="54"/>
    <w:bookmarkStart w:id="55" w:name="planning-dashboard"/>
    <w:p>
      <w:pPr>
        <w:pStyle w:val="Heading3"/>
      </w:pPr>
      <w:r>
        <w:t xml:space="preserve">Planning Dashboard</w:t>
      </w:r>
    </w:p>
    <w:p>
      <w:pPr>
        <w:pStyle w:val="Compact"/>
        <w:numPr>
          <w:ilvl w:val="0"/>
          <w:numId w:val="1013"/>
        </w:numPr>
      </w:pPr>
      <w:r>
        <w:t xml:space="preserve">Forecast demand.</w:t>
      </w:r>
    </w:p>
    <w:p>
      <w:pPr>
        <w:pStyle w:val="Compact"/>
        <w:numPr>
          <w:ilvl w:val="0"/>
          <w:numId w:val="1013"/>
        </w:numPr>
      </w:pPr>
      <w:r>
        <w:t xml:space="preserve">Procurement planning.</w:t>
      </w:r>
    </w:p>
    <w:p>
      <w:pPr>
        <w:pStyle w:val="Compact"/>
        <w:numPr>
          <w:ilvl w:val="0"/>
          <w:numId w:val="1013"/>
        </w:numPr>
      </w:pPr>
      <w:r>
        <w:t xml:space="preserve">Resource allocation.</w:t>
      </w:r>
    </w:p>
    <w:p>
      <w:pPr>
        <w:pStyle w:val="Compact"/>
        <w:numPr>
          <w:ilvl w:val="0"/>
          <w:numId w:val="1013"/>
        </w:numPr>
      </w:pPr>
      <w:r>
        <w:t xml:space="preserve">Scenario comparisons.</w:t>
      </w:r>
    </w:p>
    <w:bookmarkEnd w:id="55"/>
    <w:bookmarkStart w:id="56" w:name="logistics-dashboard"/>
    <w:p>
      <w:pPr>
        <w:pStyle w:val="Heading3"/>
      </w:pPr>
      <w:r>
        <w:t xml:space="preserve">Logistics Dashboard</w:t>
      </w:r>
    </w:p>
    <w:p>
      <w:pPr>
        <w:pStyle w:val="Compact"/>
        <w:numPr>
          <w:ilvl w:val="0"/>
          <w:numId w:val="1014"/>
        </w:numPr>
      </w:pPr>
      <w:r>
        <w:t xml:space="preserve">Warehouse capacity.</w:t>
      </w:r>
    </w:p>
    <w:p>
      <w:pPr>
        <w:pStyle w:val="Compact"/>
        <w:numPr>
          <w:ilvl w:val="0"/>
          <w:numId w:val="1014"/>
        </w:numPr>
      </w:pPr>
      <w:r>
        <w:t xml:space="preserve">Redistribution recommendations.</w:t>
      </w:r>
    </w:p>
    <w:p>
      <w:pPr>
        <w:pStyle w:val="Compact"/>
        <w:numPr>
          <w:ilvl w:val="0"/>
          <w:numId w:val="1014"/>
        </w:numPr>
      </w:pPr>
      <w:r>
        <w:t xml:space="preserve">Delivery trends.</w:t>
      </w:r>
    </w:p>
    <w:p>
      <w:r>
        <w:pict>
          <v:rect style="width:0;height:1.5pt" o:hralign="center" o:hrstd="t" o:hr="t"/>
        </w:pict>
      </w:r>
    </w:p>
    <w:bookmarkEnd w:id="56"/>
    <w:bookmarkEnd w:id="57"/>
    <w:bookmarkStart w:id="58" w:name="notifications"/>
    <w:p>
      <w:pPr>
        <w:pStyle w:val="Heading1"/>
      </w:pPr>
      <w:r>
        <w:t xml:space="preserve">25.11 Notifications</w:t>
      </w:r>
    </w:p>
    <w:p>
      <w:pPr>
        <w:pStyle w:val="FirstParagraph"/>
      </w:pPr>
      <w:r>
        <w:t xml:space="preserve">Authorized users may receive alerts for:</w:t>
      </w:r>
    </w:p>
    <w:p>
      <w:pPr>
        <w:pStyle w:val="Compact"/>
        <w:numPr>
          <w:ilvl w:val="0"/>
          <w:numId w:val="1015"/>
        </w:numPr>
      </w:pPr>
      <w:r>
        <w:t xml:space="preserve">Projected shortages.</w:t>
      </w:r>
    </w:p>
    <w:p>
      <w:pPr>
        <w:pStyle w:val="Compact"/>
        <w:numPr>
          <w:ilvl w:val="0"/>
          <w:numId w:val="1015"/>
        </w:numPr>
      </w:pPr>
      <w:r>
        <w:t xml:space="preserve">Forecast updates.</w:t>
      </w:r>
    </w:p>
    <w:p>
      <w:pPr>
        <w:pStyle w:val="Compact"/>
        <w:numPr>
          <w:ilvl w:val="0"/>
          <w:numId w:val="1015"/>
        </w:numPr>
      </w:pPr>
      <w:r>
        <w:t xml:space="preserve">Significant deviations from planning assumptions.</w:t>
      </w:r>
    </w:p>
    <w:p>
      <w:pPr>
        <w:pStyle w:val="Compact"/>
        <w:numPr>
          <w:ilvl w:val="0"/>
          <w:numId w:val="1015"/>
        </w:numPr>
      </w:pPr>
      <w:r>
        <w:t xml:space="preserve">Emerging operational risks.</w:t>
      </w:r>
    </w:p>
    <w:p>
      <w:pPr>
        <w:pStyle w:val="Compact"/>
        <w:numPr>
          <w:ilvl w:val="0"/>
          <w:numId w:val="1015"/>
        </w:numPr>
      </w:pPr>
      <w:r>
        <w:t xml:space="preserve">Critical performance indicators falling below defined thresholds.</w:t>
      </w:r>
    </w:p>
    <w:p>
      <w:r>
        <w:pict>
          <v:rect style="width:0;height:1.5pt" o:hralign="center" o:hrstd="t" o:hr="t"/>
        </w:pict>
      </w:r>
    </w:p>
    <w:bookmarkEnd w:id="58"/>
    <w:bookmarkStart w:id="59" w:name="offline-behaviour"/>
    <w:p>
      <w:pPr>
        <w:pStyle w:val="Heading1"/>
      </w:pPr>
      <w:r>
        <w:t xml:space="preserve">25.12 Offline Behaviour</w:t>
      </w:r>
    </w:p>
    <w:p>
      <w:pPr>
        <w:pStyle w:val="FirstParagraph"/>
      </w:pPr>
      <w:r>
        <w:t xml:space="preserve">Analytical processing is primarily performed within centralized infrastructure. Users may continue to view previously synchronized dashboards and reports while offline, with updated analyses becoming available after synchronization.</w:t>
      </w:r>
    </w:p>
    <w:p>
      <w:r>
        <w:pict>
          <v:rect style="width:0;height:1.5pt" o:hralign="center" o:hrstd="t" o:hr="t"/>
        </w:pict>
      </w:r>
    </w:p>
    <w:bookmarkEnd w:id="59"/>
    <w:bookmarkStart w:id="60" w:name="integration-points"/>
    <w:p>
      <w:pPr>
        <w:pStyle w:val="Heading1"/>
      </w:pPr>
      <w:r>
        <w:t xml:space="preserve">25.13 Integration Points</w:t>
      </w:r>
    </w:p>
    <w:p>
      <w:pPr>
        <w:pStyle w:val="FirstParagraph"/>
      </w:pPr>
      <w:r>
        <w:t xml:space="preserve">The Engine integrates with all operational modules, including:</w:t>
      </w:r>
    </w:p>
    <w:p>
      <w:pPr>
        <w:pStyle w:val="Compact"/>
        <w:numPr>
          <w:ilvl w:val="0"/>
          <w:numId w:val="1016"/>
        </w:numPr>
      </w:pPr>
      <w:r>
        <w:t xml:space="preserve">School Registry.</w:t>
      </w:r>
    </w:p>
    <w:p>
      <w:pPr>
        <w:pStyle w:val="Compact"/>
        <w:numPr>
          <w:ilvl w:val="0"/>
          <w:numId w:val="1016"/>
        </w:numPr>
      </w:pPr>
      <w:r>
        <w:t xml:space="preserve">Student Registry.</w:t>
      </w:r>
    </w:p>
    <w:p>
      <w:pPr>
        <w:pStyle w:val="Compact"/>
        <w:numPr>
          <w:ilvl w:val="0"/>
          <w:numId w:val="1016"/>
        </w:numPr>
      </w:pPr>
      <w:r>
        <w:t xml:space="preserve">Textbook Registry.</w:t>
      </w:r>
    </w:p>
    <w:p>
      <w:pPr>
        <w:pStyle w:val="Compact"/>
        <w:numPr>
          <w:ilvl w:val="0"/>
          <w:numId w:val="1016"/>
        </w:numPr>
      </w:pPr>
      <w:r>
        <w:t xml:space="preserve">Procurement.</w:t>
      </w:r>
    </w:p>
    <w:p>
      <w:pPr>
        <w:pStyle w:val="Compact"/>
        <w:numPr>
          <w:ilvl w:val="0"/>
          <w:numId w:val="1016"/>
        </w:numPr>
      </w:pPr>
      <w:r>
        <w:t xml:space="preserve">Warehouse Management.</w:t>
      </w:r>
    </w:p>
    <w:p>
      <w:pPr>
        <w:pStyle w:val="Compact"/>
        <w:numPr>
          <w:ilvl w:val="0"/>
          <w:numId w:val="1016"/>
        </w:numPr>
      </w:pPr>
      <w:r>
        <w:t xml:space="preserve">School Operations.</w:t>
      </w:r>
    </w:p>
    <w:p>
      <w:pPr>
        <w:pStyle w:val="Compact"/>
        <w:numPr>
          <w:ilvl w:val="0"/>
          <w:numId w:val="1016"/>
        </w:numPr>
      </w:pPr>
      <w:r>
        <w:t xml:space="preserve">Inspection.</w:t>
      </w:r>
    </w:p>
    <w:p>
      <w:pPr>
        <w:pStyle w:val="Compact"/>
        <w:numPr>
          <w:ilvl w:val="0"/>
          <w:numId w:val="1016"/>
        </w:numPr>
      </w:pPr>
      <w:r>
        <w:t xml:space="preserve">Interoperability Hub.</w:t>
      </w:r>
    </w:p>
    <w:p>
      <w:pPr>
        <w:pStyle w:val="Compact"/>
        <w:numPr>
          <w:ilvl w:val="0"/>
          <w:numId w:val="1016"/>
        </w:numPr>
      </w:pPr>
      <w:r>
        <w:t xml:space="preserve">Command Centre.</w:t>
      </w:r>
    </w:p>
    <w:p>
      <w:r>
        <w:pict>
          <v:rect style="width:0;height:1.5pt" o:hralign="center" o:hrstd="t" o:hr="t"/>
        </w:pict>
      </w:r>
    </w:p>
    <w:bookmarkEnd w:id="60"/>
    <w:bookmarkStart w:id="61" w:name="success-indicators"/>
    <w:p>
      <w:pPr>
        <w:pStyle w:val="Heading1"/>
      </w:pPr>
      <w:r>
        <w:t xml:space="preserve">25.14 Success Indicators</w:t>
      </w:r>
    </w:p>
    <w:p>
      <w:pPr>
        <w:pStyle w:val="FirstParagraph"/>
      </w:pPr>
      <w:r>
        <w:t xml:space="preserve">Examples include:</w:t>
      </w:r>
    </w:p>
    <w:p>
      <w:pPr>
        <w:pStyle w:val="Compact"/>
        <w:numPr>
          <w:ilvl w:val="0"/>
          <w:numId w:val="1017"/>
        </w:numPr>
      </w:pPr>
      <w:r>
        <w:t xml:space="preserve">Forecast accuracy.</w:t>
      </w:r>
    </w:p>
    <w:p>
      <w:pPr>
        <w:pStyle w:val="Compact"/>
        <w:numPr>
          <w:ilvl w:val="0"/>
          <w:numId w:val="1017"/>
        </w:numPr>
      </w:pPr>
      <w:r>
        <w:t xml:space="preserve">Reduction in emergency redistributions.</w:t>
      </w:r>
    </w:p>
    <w:p>
      <w:pPr>
        <w:pStyle w:val="Compact"/>
        <w:numPr>
          <w:ilvl w:val="0"/>
          <w:numId w:val="1017"/>
        </w:numPr>
      </w:pPr>
      <w:r>
        <w:t xml:space="preserve">Improvement in inventory planning.</w:t>
      </w:r>
    </w:p>
    <w:p>
      <w:pPr>
        <w:pStyle w:val="Compact"/>
        <w:numPr>
          <w:ilvl w:val="0"/>
          <w:numId w:val="1017"/>
        </w:numPr>
      </w:pPr>
      <w:r>
        <w:t xml:space="preserve">Timeliness of executive reporting.</w:t>
      </w:r>
    </w:p>
    <w:p>
      <w:pPr>
        <w:pStyle w:val="Compact"/>
        <w:numPr>
          <w:ilvl w:val="0"/>
          <w:numId w:val="1017"/>
        </w:numPr>
      </w:pPr>
      <w:r>
        <w:t xml:space="preserve">Utilization of decision-support dashboards.</w:t>
      </w:r>
    </w:p>
    <w:p>
      <w:pPr>
        <w:pStyle w:val="Compact"/>
        <w:numPr>
          <w:ilvl w:val="0"/>
          <w:numId w:val="1017"/>
        </w:numPr>
      </w:pPr>
      <w:r>
        <w:t xml:space="preserve">Planning cycle efficiency.</w:t>
      </w:r>
    </w:p>
    <w:p>
      <w:pPr>
        <w:pStyle w:val="Compact"/>
        <w:numPr>
          <w:ilvl w:val="0"/>
          <w:numId w:val="1017"/>
        </w:numPr>
      </w:pPr>
      <w:r>
        <w:t xml:space="preserve">Programme performance improvements.</w:t>
      </w:r>
    </w:p>
    <w:p>
      <w:r>
        <w:pict>
          <v:rect style="width:0;height:1.5pt" o:hralign="center" o:hrstd="t" o:hr="t"/>
        </w:pict>
      </w:r>
    </w:p>
    <w:bookmarkEnd w:id="61"/>
    <w:bookmarkStart w:id="62" w:name="conclusion"/>
    <w:p>
      <w:pPr>
        <w:pStyle w:val="Heading1"/>
      </w:pPr>
      <w:r>
        <w:t xml:space="preserve">25.15 Conclusion</w:t>
      </w:r>
    </w:p>
    <w:p>
      <w:pPr>
        <w:pStyle w:val="FirstParagraph"/>
      </w:pPr>
      <w:r>
        <w:t xml:space="preserve">The Education Analytics, Forecasting and Decision Support Engine transforms operational information into strategic intelligence that strengthens planning, budgeting, monitoring, and governance.</w:t>
      </w:r>
    </w:p>
    <w:p>
      <w:pPr>
        <w:pStyle w:val="BodyText"/>
      </w:pPr>
      <w:r>
        <w:t xml:space="preserve">By providing descriptive, diagnostic, predictive, and decision-support capabilities, the Engine enables the Ministry to manage educational resources proactively, improve operational efficiency, and support evidence-based policy while maintaining human oversight of all significant decisions.</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2026-07-10T13:15:59Z</dcterms:created>
  <dcterms:modified xsi:type="dcterms:W3CDTF">2026-07-10T13:15:59Z</dcterms:modified>
</cp:coreProperties>
</file>

<file path=docProps/custom.xml><?xml version="1.0" encoding="utf-8"?>
<Properties xmlns="http://schemas.openxmlformats.org/officeDocument/2006/custom-properties" xmlns:vt="http://schemas.openxmlformats.org/officeDocument/2006/docPropsVTypes"/>
</file>