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olume-ii"/>
    <w:p>
      <w:pPr>
        <w:pStyle w:val="Heading1"/>
      </w:pPr>
      <w:r>
        <w:t xml:space="preserve">VOLUME II</w:t>
      </w:r>
    </w:p>
    <w:bookmarkEnd w:id="20"/>
    <w:bookmarkStart w:id="21" w:name="X073f6abf736256c2a78c933ff8d5d7e35267bd4"/>
    <w:p>
      <w:pPr>
        <w:pStyle w:val="Heading1"/>
      </w:pPr>
      <w:r>
        <w:t xml:space="preserve">FUNCTIONAL REQUIREMENTS SPECIFICATION (FRS)</w:t>
      </w:r>
    </w:p>
    <w:bookmarkEnd w:id="21"/>
    <w:bookmarkStart w:id="22" w:name="chapter-16"/>
    <w:p>
      <w:pPr>
        <w:pStyle w:val="Heading1"/>
      </w:pPr>
      <w:r>
        <w:t xml:space="preserve">CHAPTER 16</w:t>
      </w:r>
    </w:p>
    <w:bookmarkEnd w:id="22"/>
    <w:bookmarkStart w:id="24" w:name="functional-requirements-analysis"/>
    <w:p>
      <w:pPr>
        <w:pStyle w:val="Heading1"/>
      </w:pPr>
      <w:r>
        <w:t xml:space="preserve">FUNCTIONAL REQUIREMENTS ANALYSIS</w:t>
      </w:r>
    </w:p>
    <w:bookmarkStart w:id="23" w:name="purpose"/>
    <w:p>
      <w:pPr>
        <w:pStyle w:val="Heading2"/>
      </w:pPr>
      <w:r>
        <w:t xml:space="preserve">16.1 Purpose</w:t>
      </w:r>
    </w:p>
    <w:p>
      <w:pPr>
        <w:pStyle w:val="FirstParagraph"/>
      </w:pPr>
      <w:r>
        <w:t xml:space="preserve">This chapter defines the functional requirements of the National Education Resource Intelligence Platform (NERIP).</w:t>
      </w:r>
    </w:p>
    <w:p>
      <w:pPr>
        <w:pStyle w:val="BodyText"/>
      </w:pPr>
      <w:r>
        <w:t xml:space="preserve">The objective is to translate operational processes into digital workflows that improve transparency, accountability, efficiency, and decision-making throughout the education resource lifecycle.</w:t>
      </w:r>
    </w:p>
    <w:p>
      <w:pPr>
        <w:pStyle w:val="BodyText"/>
      </w:pPr>
      <w:r>
        <w:t xml:space="preserve">Each requirement is linked to a specific operational need identified in the preceding chapters.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sign-philosophy"/>
    <w:p>
      <w:pPr>
        <w:pStyle w:val="Heading1"/>
      </w:pPr>
      <w:r>
        <w:t xml:space="preserve">16.2 Design Philosophy</w:t>
      </w:r>
    </w:p>
    <w:p>
      <w:pPr>
        <w:pStyle w:val="FirstParagraph"/>
      </w:pPr>
      <w:r>
        <w:t xml:space="preserve">The platform shall be designed to satisfy the following principles:</w:t>
      </w:r>
    </w:p>
    <w:p>
      <w:pPr>
        <w:pStyle w:val="Compact"/>
        <w:numPr>
          <w:ilvl w:val="0"/>
          <w:numId w:val="1001"/>
        </w:numPr>
      </w:pPr>
      <w:r>
        <w:t xml:space="preserve">Offline-first operation</w:t>
      </w:r>
    </w:p>
    <w:p>
      <w:pPr>
        <w:pStyle w:val="Compact"/>
        <w:numPr>
          <w:ilvl w:val="0"/>
          <w:numId w:val="1001"/>
        </w:numPr>
      </w:pPr>
      <w:r>
        <w:t xml:space="preserve">Mobile-first user experience</w:t>
      </w:r>
    </w:p>
    <w:p>
      <w:pPr>
        <w:pStyle w:val="Compact"/>
        <w:numPr>
          <w:ilvl w:val="0"/>
          <w:numId w:val="1001"/>
        </w:numPr>
      </w:pPr>
      <w:r>
        <w:t xml:space="preserve">Modular architecture</w:t>
      </w:r>
    </w:p>
    <w:p>
      <w:pPr>
        <w:pStyle w:val="Compact"/>
        <w:numPr>
          <w:ilvl w:val="0"/>
          <w:numId w:val="1001"/>
        </w:numPr>
      </w:pPr>
      <w:r>
        <w:t xml:space="preserve">Simple user interfaces</w:t>
      </w:r>
    </w:p>
    <w:p>
      <w:pPr>
        <w:pStyle w:val="Compact"/>
        <w:numPr>
          <w:ilvl w:val="0"/>
          <w:numId w:val="1001"/>
        </w:numPr>
      </w:pPr>
      <w:r>
        <w:t xml:space="preserve">Secure by design</w:t>
      </w:r>
    </w:p>
    <w:p>
      <w:pPr>
        <w:pStyle w:val="Compact"/>
        <w:numPr>
          <w:ilvl w:val="0"/>
          <w:numId w:val="1001"/>
        </w:numPr>
      </w:pPr>
      <w:r>
        <w:t xml:space="preserve">Scalable nationwide</w:t>
      </w:r>
    </w:p>
    <w:p>
      <w:pPr>
        <w:pStyle w:val="Compact"/>
        <w:numPr>
          <w:ilvl w:val="0"/>
          <w:numId w:val="1001"/>
        </w:numPr>
      </w:pPr>
      <w:r>
        <w:t xml:space="preserve">Role-based access</w:t>
      </w:r>
    </w:p>
    <w:p>
      <w:pPr>
        <w:pStyle w:val="Compact"/>
        <w:numPr>
          <w:ilvl w:val="0"/>
          <w:numId w:val="1001"/>
        </w:numPr>
      </w:pPr>
      <w:r>
        <w:t xml:space="preserve">Interoperable</w:t>
      </w:r>
    </w:p>
    <w:p>
      <w:pPr>
        <w:pStyle w:val="Compact"/>
        <w:numPr>
          <w:ilvl w:val="0"/>
          <w:numId w:val="1001"/>
        </w:numPr>
      </w:pPr>
      <w:r>
        <w:t xml:space="preserve">Highly configurable</w:t>
      </w:r>
    </w:p>
    <w:p>
      <w:pPr>
        <w:pStyle w:val="Compact"/>
        <w:numPr>
          <w:ilvl w:val="0"/>
          <w:numId w:val="1001"/>
        </w:numPr>
      </w:pPr>
      <w:r>
        <w:t xml:space="preserve">Multilingual support (English and French, with future extensibility)</w:t>
      </w:r>
    </w:p>
    <w:p>
      <w:r>
        <w:pict>
          <v:rect style="width:0;height:1.5pt" o:hralign="center" o:hrstd="t" o:hr="t"/>
        </w:pict>
      </w:r>
    </w:p>
    <w:bookmarkEnd w:id="25"/>
    <w:bookmarkStart w:id="31" w:name="user-categories"/>
    <w:p>
      <w:pPr>
        <w:pStyle w:val="Heading1"/>
      </w:pPr>
      <w:r>
        <w:t xml:space="preserve">16.3 User Categories</w:t>
      </w:r>
    </w:p>
    <w:p>
      <w:pPr>
        <w:pStyle w:val="FirstParagraph"/>
      </w:pPr>
      <w:r>
        <w:t xml:space="preserve">The platform shall support multiple categories of users.</w:t>
      </w:r>
    </w:p>
    <w:bookmarkStart w:id="26" w:name="national-administration"/>
    <w:p>
      <w:pPr>
        <w:pStyle w:val="Heading2"/>
      </w:pPr>
      <w:r>
        <w:t xml:space="preserve">National Administration</w:t>
      </w:r>
    </w:p>
    <w:p>
      <w:pPr>
        <w:pStyle w:val="FirstParagraph"/>
      </w:pPr>
      <w:r>
        <w:t xml:space="preserve">Users include:</w:t>
      </w:r>
    </w:p>
    <w:p>
      <w:pPr>
        <w:pStyle w:val="Compact"/>
        <w:numPr>
          <w:ilvl w:val="0"/>
          <w:numId w:val="1002"/>
        </w:numPr>
      </w:pPr>
      <w:r>
        <w:t xml:space="preserve">Minister</w:t>
      </w:r>
    </w:p>
    <w:p>
      <w:pPr>
        <w:pStyle w:val="Compact"/>
        <w:numPr>
          <w:ilvl w:val="0"/>
          <w:numId w:val="1002"/>
        </w:numPr>
      </w:pPr>
      <w:r>
        <w:t xml:space="preserve">Secretary General</w:t>
      </w:r>
    </w:p>
    <w:p>
      <w:pPr>
        <w:pStyle w:val="Compact"/>
        <w:numPr>
          <w:ilvl w:val="0"/>
          <w:numId w:val="1002"/>
        </w:numPr>
      </w:pPr>
      <w:r>
        <w:t xml:space="preserve">Directors</w:t>
      </w:r>
    </w:p>
    <w:p>
      <w:pPr>
        <w:pStyle w:val="Compact"/>
        <w:numPr>
          <w:ilvl w:val="0"/>
          <w:numId w:val="1002"/>
        </w:numPr>
      </w:pPr>
      <w:r>
        <w:t xml:space="preserve">National Planning Officers</w:t>
      </w:r>
    </w:p>
    <w:p>
      <w:pPr>
        <w:pStyle w:val="Compact"/>
        <w:numPr>
          <w:ilvl w:val="0"/>
          <w:numId w:val="1002"/>
        </w:numPr>
      </w:pPr>
      <w:r>
        <w:t xml:space="preserve">Procurement Officers</w:t>
      </w:r>
    </w:p>
    <w:p>
      <w:pPr>
        <w:pStyle w:val="Compact"/>
        <w:numPr>
          <w:ilvl w:val="0"/>
          <w:numId w:val="1002"/>
        </w:numPr>
      </w:pPr>
      <w:r>
        <w:t xml:space="preserve">National Warehouse Managers</w:t>
      </w:r>
    </w:p>
    <w:p>
      <w:pPr>
        <w:pStyle w:val="Compact"/>
        <w:numPr>
          <w:ilvl w:val="0"/>
          <w:numId w:val="1002"/>
        </w:numPr>
      </w:pPr>
      <w:r>
        <w:t xml:space="preserve">ICT Administrators</w:t>
      </w:r>
    </w:p>
    <w:p>
      <w:pPr>
        <w:pStyle w:val="Compact"/>
        <w:numPr>
          <w:ilvl w:val="0"/>
          <w:numId w:val="1002"/>
        </w:numPr>
      </w:pPr>
      <w:r>
        <w:t xml:space="preserve">Monitoring and Evaluation Officers</w:t>
      </w:r>
    </w:p>
    <w:p>
      <w:pPr>
        <w:pStyle w:val="Compact"/>
        <w:numPr>
          <w:ilvl w:val="0"/>
          <w:numId w:val="1002"/>
        </w:numPr>
      </w:pPr>
      <w:r>
        <w:t xml:space="preserve">Internal Auditors</w:t>
      </w:r>
    </w:p>
    <w:p>
      <w:r>
        <w:pict>
          <v:rect style="width:0;height:1.5pt" o:hralign="center" o:hrstd="t" o:hr="t"/>
        </w:pict>
      </w:r>
    </w:p>
    <w:bookmarkEnd w:id="26"/>
    <w:bookmarkStart w:id="27" w:name="regional-administration"/>
    <w:p>
      <w:pPr>
        <w:pStyle w:val="Heading2"/>
      </w:pPr>
      <w:r>
        <w:t xml:space="preserve">Regional Administration</w:t>
      </w:r>
    </w:p>
    <w:p>
      <w:pPr>
        <w:pStyle w:val="FirstParagraph"/>
      </w:pPr>
      <w:r>
        <w:t xml:space="preserve">Users include:</w:t>
      </w:r>
    </w:p>
    <w:p>
      <w:pPr>
        <w:pStyle w:val="Compact"/>
        <w:numPr>
          <w:ilvl w:val="0"/>
          <w:numId w:val="1003"/>
        </w:numPr>
      </w:pPr>
      <w:r>
        <w:t xml:space="preserve">Regional Delegates</w:t>
      </w:r>
    </w:p>
    <w:p>
      <w:pPr>
        <w:pStyle w:val="Compact"/>
        <w:numPr>
          <w:ilvl w:val="0"/>
          <w:numId w:val="1003"/>
        </w:numPr>
      </w:pPr>
      <w:r>
        <w:t xml:space="preserve">Regional Warehouse Managers</w:t>
      </w:r>
    </w:p>
    <w:p>
      <w:pPr>
        <w:pStyle w:val="Compact"/>
        <w:numPr>
          <w:ilvl w:val="0"/>
          <w:numId w:val="1003"/>
        </w:numPr>
      </w:pPr>
      <w:r>
        <w:t xml:space="preserve">Regional Inspectors</w:t>
      </w:r>
    </w:p>
    <w:p>
      <w:pPr>
        <w:pStyle w:val="Compact"/>
        <w:numPr>
          <w:ilvl w:val="0"/>
          <w:numId w:val="1003"/>
        </w:numPr>
      </w:pPr>
      <w:r>
        <w:t xml:space="preserve">Regional Logistics Officers</w:t>
      </w:r>
    </w:p>
    <w:p>
      <w:pPr>
        <w:pStyle w:val="Compact"/>
        <w:numPr>
          <w:ilvl w:val="0"/>
          <w:numId w:val="1003"/>
        </w:numPr>
      </w:pPr>
      <w:r>
        <w:t xml:space="preserve">Regional ICT Officers</w:t>
      </w:r>
    </w:p>
    <w:p>
      <w:r>
        <w:pict>
          <v:rect style="width:0;height:1.5pt" o:hralign="center" o:hrstd="t" o:hr="t"/>
        </w:pict>
      </w:r>
    </w:p>
    <w:bookmarkEnd w:id="27"/>
    <w:bookmarkStart w:id="28" w:name="divisional-administration"/>
    <w:p>
      <w:pPr>
        <w:pStyle w:val="Heading2"/>
      </w:pPr>
      <w:r>
        <w:t xml:space="preserve">Divisional Administration</w:t>
      </w:r>
    </w:p>
    <w:p>
      <w:pPr>
        <w:pStyle w:val="FirstParagraph"/>
      </w:pPr>
      <w:r>
        <w:t xml:space="preserve">Users include:</w:t>
      </w:r>
    </w:p>
    <w:p>
      <w:pPr>
        <w:pStyle w:val="Compact"/>
        <w:numPr>
          <w:ilvl w:val="0"/>
          <w:numId w:val="1004"/>
        </w:numPr>
      </w:pPr>
      <w:r>
        <w:t xml:space="preserve">Divisional Delegates</w:t>
      </w:r>
    </w:p>
    <w:p>
      <w:pPr>
        <w:pStyle w:val="Compact"/>
        <w:numPr>
          <w:ilvl w:val="0"/>
          <w:numId w:val="1004"/>
        </w:numPr>
      </w:pPr>
      <w:r>
        <w:t xml:space="preserve">Divisional Inspectors</w:t>
      </w:r>
    </w:p>
    <w:p>
      <w:pPr>
        <w:pStyle w:val="Compact"/>
        <w:numPr>
          <w:ilvl w:val="0"/>
          <w:numId w:val="1004"/>
        </w:numPr>
      </w:pPr>
      <w:r>
        <w:t xml:space="preserve">Logistics Coordinators</w:t>
      </w:r>
    </w:p>
    <w:p>
      <w:pPr>
        <w:pStyle w:val="Compact"/>
        <w:numPr>
          <w:ilvl w:val="0"/>
          <w:numId w:val="1004"/>
        </w:numPr>
      </w:pPr>
      <w:r>
        <w:t xml:space="preserve">Inventory Officers</w:t>
      </w:r>
    </w:p>
    <w:p>
      <w:r>
        <w:pict>
          <v:rect style="width:0;height:1.5pt" o:hralign="center" o:hrstd="t" o:hr="t"/>
        </w:pict>
      </w:r>
    </w:p>
    <w:bookmarkEnd w:id="28"/>
    <w:bookmarkStart w:id="29" w:name="school-administration"/>
    <w:p>
      <w:pPr>
        <w:pStyle w:val="Heading2"/>
      </w:pPr>
      <w:r>
        <w:t xml:space="preserve">School Administration</w:t>
      </w:r>
    </w:p>
    <w:p>
      <w:pPr>
        <w:pStyle w:val="FirstParagraph"/>
      </w:pPr>
      <w:r>
        <w:t xml:space="preserve">Users include:</w:t>
      </w:r>
    </w:p>
    <w:p>
      <w:pPr>
        <w:pStyle w:val="Compact"/>
        <w:numPr>
          <w:ilvl w:val="0"/>
          <w:numId w:val="1005"/>
        </w:numPr>
      </w:pPr>
      <w:r>
        <w:t xml:space="preserve">Principal</w:t>
      </w:r>
    </w:p>
    <w:p>
      <w:pPr>
        <w:pStyle w:val="Compact"/>
        <w:numPr>
          <w:ilvl w:val="0"/>
          <w:numId w:val="1005"/>
        </w:numPr>
      </w:pPr>
      <w:r>
        <w:t xml:space="preserve">Vice Principal</w:t>
      </w:r>
    </w:p>
    <w:p>
      <w:pPr>
        <w:pStyle w:val="Compact"/>
        <w:numPr>
          <w:ilvl w:val="0"/>
          <w:numId w:val="1005"/>
        </w:numPr>
      </w:pPr>
      <w:r>
        <w:t xml:space="preserve">Bursar</w:t>
      </w:r>
    </w:p>
    <w:p>
      <w:pPr>
        <w:pStyle w:val="Compact"/>
        <w:numPr>
          <w:ilvl w:val="0"/>
          <w:numId w:val="1005"/>
        </w:numPr>
      </w:pPr>
      <w:r>
        <w:t xml:space="preserve">Storekeeper</w:t>
      </w:r>
    </w:p>
    <w:p>
      <w:pPr>
        <w:pStyle w:val="Compact"/>
        <w:numPr>
          <w:ilvl w:val="0"/>
          <w:numId w:val="1005"/>
        </w:numPr>
      </w:pPr>
      <w:r>
        <w:t xml:space="preserve">Librarian</w:t>
      </w:r>
    </w:p>
    <w:p>
      <w:pPr>
        <w:pStyle w:val="Compact"/>
        <w:numPr>
          <w:ilvl w:val="0"/>
          <w:numId w:val="1005"/>
        </w:numPr>
      </w:pPr>
      <w:r>
        <w:t xml:space="preserve">Head of Department</w:t>
      </w:r>
    </w:p>
    <w:p>
      <w:pPr>
        <w:pStyle w:val="Compact"/>
        <w:numPr>
          <w:ilvl w:val="0"/>
          <w:numId w:val="1005"/>
        </w:numPr>
      </w:pPr>
      <w:r>
        <w:t xml:space="preserve">Subject Teachers</w:t>
      </w:r>
    </w:p>
    <w:p>
      <w:pPr>
        <w:pStyle w:val="Compact"/>
        <w:numPr>
          <w:ilvl w:val="0"/>
          <w:numId w:val="1005"/>
        </w:numPr>
      </w:pPr>
      <w:r>
        <w:t xml:space="preserve">ICT Coordinator</w:t>
      </w:r>
    </w:p>
    <w:p>
      <w:r>
        <w:pict>
          <v:rect style="width:0;height:1.5pt" o:hralign="center" o:hrstd="t" o:hr="t"/>
        </w:pict>
      </w:r>
    </w:p>
    <w:bookmarkEnd w:id="29"/>
    <w:bookmarkStart w:id="30" w:name="external-stakeholders"/>
    <w:p>
      <w:pPr>
        <w:pStyle w:val="Heading2"/>
      </w:pPr>
      <w:r>
        <w:t xml:space="preserve">External Stakeholders</w:t>
      </w:r>
    </w:p>
    <w:p>
      <w:pPr>
        <w:pStyle w:val="FirstParagraph"/>
      </w:pPr>
      <w:r>
        <w:t xml:space="preserve">Where authorized, the platform may support:</w:t>
      </w:r>
    </w:p>
    <w:p>
      <w:pPr>
        <w:pStyle w:val="Compact"/>
        <w:numPr>
          <w:ilvl w:val="0"/>
          <w:numId w:val="1006"/>
        </w:numPr>
      </w:pPr>
      <w:r>
        <w:t xml:space="preserve">Publishers</w:t>
      </w:r>
    </w:p>
    <w:p>
      <w:pPr>
        <w:pStyle w:val="Compact"/>
        <w:numPr>
          <w:ilvl w:val="0"/>
          <w:numId w:val="1006"/>
        </w:numPr>
      </w:pPr>
      <w:r>
        <w:t xml:space="preserve">Printers</w:t>
      </w:r>
    </w:p>
    <w:p>
      <w:pPr>
        <w:pStyle w:val="Compact"/>
        <w:numPr>
          <w:ilvl w:val="0"/>
          <w:numId w:val="1006"/>
        </w:numPr>
      </w:pPr>
      <w:r>
        <w:t xml:space="preserve">Transport Contractors</w:t>
      </w:r>
    </w:p>
    <w:p>
      <w:pPr>
        <w:pStyle w:val="Compact"/>
        <w:numPr>
          <w:ilvl w:val="0"/>
          <w:numId w:val="1006"/>
        </w:numPr>
      </w:pPr>
      <w:r>
        <w:t xml:space="preserve">Development Partners</w:t>
      </w:r>
    </w:p>
    <w:p>
      <w:pPr>
        <w:pStyle w:val="Compact"/>
        <w:numPr>
          <w:ilvl w:val="0"/>
          <w:numId w:val="1006"/>
        </w:numPr>
      </w:pPr>
      <w:r>
        <w:t xml:space="preserve">Auditors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4" w:name="functional-domains"/>
    <w:p>
      <w:pPr>
        <w:pStyle w:val="Heading1"/>
      </w:pPr>
      <w:r>
        <w:t xml:space="preserve">16.4 Functional Domains</w:t>
      </w:r>
    </w:p>
    <w:p>
      <w:pPr>
        <w:pStyle w:val="FirstParagraph"/>
      </w:pPr>
      <w:r>
        <w:t xml:space="preserve">The system consists of twelve major domains.</w:t>
      </w:r>
    </w:p>
    <w:bookmarkStart w:id="32" w:name="domain-1"/>
    <w:p>
      <w:pPr>
        <w:pStyle w:val="Heading2"/>
      </w:pPr>
      <w:r>
        <w:t xml:space="preserve">Domain 1</w:t>
      </w:r>
    </w:p>
    <w:p>
      <w:pPr>
        <w:pStyle w:val="FirstParagraph"/>
      </w:pPr>
      <w:r>
        <w:t xml:space="preserve">National School Registry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07"/>
        </w:numPr>
      </w:pPr>
      <w:r>
        <w:t xml:space="preserve">Register schools</w:t>
      </w:r>
    </w:p>
    <w:p>
      <w:pPr>
        <w:pStyle w:val="Compact"/>
        <w:numPr>
          <w:ilvl w:val="0"/>
          <w:numId w:val="1007"/>
        </w:numPr>
      </w:pPr>
      <w:r>
        <w:t xml:space="preserve">Update school information</w:t>
      </w:r>
    </w:p>
    <w:p>
      <w:pPr>
        <w:pStyle w:val="Compact"/>
        <w:numPr>
          <w:ilvl w:val="0"/>
          <w:numId w:val="1007"/>
        </w:numPr>
      </w:pPr>
      <w:r>
        <w:t xml:space="preserve">School categorization</w:t>
      </w:r>
    </w:p>
    <w:p>
      <w:pPr>
        <w:pStyle w:val="Compact"/>
        <w:numPr>
          <w:ilvl w:val="0"/>
          <w:numId w:val="1007"/>
        </w:numPr>
      </w:pPr>
      <w:r>
        <w:t xml:space="preserve">GPS coordinates</w:t>
      </w:r>
    </w:p>
    <w:p>
      <w:pPr>
        <w:pStyle w:val="Compact"/>
        <w:numPr>
          <w:ilvl w:val="0"/>
          <w:numId w:val="1007"/>
        </w:numPr>
      </w:pPr>
      <w:r>
        <w:t xml:space="preserve">Administrative hierarchy</w:t>
      </w:r>
    </w:p>
    <w:p>
      <w:pPr>
        <w:pStyle w:val="Compact"/>
        <w:numPr>
          <w:ilvl w:val="0"/>
          <w:numId w:val="1007"/>
        </w:numPr>
      </w:pPr>
      <w:r>
        <w:t xml:space="preserve">Infrastructure profile</w:t>
      </w:r>
    </w:p>
    <w:p>
      <w:r>
        <w:pict>
          <v:rect style="width:0;height:1.5pt" o:hralign="center" o:hrstd="t" o:hr="t"/>
        </w:pict>
      </w:r>
    </w:p>
    <w:bookmarkEnd w:id="32"/>
    <w:bookmarkStart w:id="33" w:name="domain-2"/>
    <w:p>
      <w:pPr>
        <w:pStyle w:val="Heading2"/>
      </w:pPr>
      <w:r>
        <w:t xml:space="preserve">Domain 2</w:t>
      </w:r>
    </w:p>
    <w:p>
      <w:pPr>
        <w:pStyle w:val="FirstParagraph"/>
      </w:pPr>
      <w:r>
        <w:t xml:space="preserve">Textbook Master Registry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08"/>
        </w:numPr>
      </w:pPr>
      <w:r>
        <w:t xml:space="preserve">Register textbooks</w:t>
      </w:r>
    </w:p>
    <w:p>
      <w:pPr>
        <w:pStyle w:val="Compact"/>
        <w:numPr>
          <w:ilvl w:val="0"/>
          <w:numId w:val="1008"/>
        </w:numPr>
      </w:pPr>
      <w:r>
        <w:t xml:space="preserve">ISBN management</w:t>
      </w:r>
    </w:p>
    <w:p>
      <w:pPr>
        <w:pStyle w:val="Compact"/>
        <w:numPr>
          <w:ilvl w:val="0"/>
          <w:numId w:val="1008"/>
        </w:numPr>
      </w:pPr>
      <w:r>
        <w:t xml:space="preserve">Subject mapping</w:t>
      </w:r>
    </w:p>
    <w:p>
      <w:pPr>
        <w:pStyle w:val="Compact"/>
        <w:numPr>
          <w:ilvl w:val="0"/>
          <w:numId w:val="1008"/>
        </w:numPr>
      </w:pPr>
      <w:r>
        <w:t xml:space="preserve">Grade mapping</w:t>
      </w:r>
    </w:p>
    <w:p>
      <w:pPr>
        <w:pStyle w:val="Compact"/>
        <w:numPr>
          <w:ilvl w:val="0"/>
          <w:numId w:val="1008"/>
        </w:numPr>
      </w:pPr>
      <w:r>
        <w:t xml:space="preserve">Edition management</w:t>
      </w:r>
    </w:p>
    <w:p>
      <w:pPr>
        <w:pStyle w:val="Compact"/>
        <w:numPr>
          <w:ilvl w:val="0"/>
          <w:numId w:val="1008"/>
        </w:numPr>
      </w:pPr>
      <w:r>
        <w:t xml:space="preserve">Curriculum alignment</w:t>
      </w:r>
    </w:p>
    <w:p>
      <w:pPr>
        <w:pStyle w:val="Compact"/>
        <w:numPr>
          <w:ilvl w:val="0"/>
          <w:numId w:val="1008"/>
        </w:numPr>
      </w:pPr>
      <w:r>
        <w:t xml:space="preserve">Publisher information</w:t>
      </w:r>
    </w:p>
    <w:p>
      <w:pPr>
        <w:pStyle w:val="Compact"/>
        <w:numPr>
          <w:ilvl w:val="0"/>
          <w:numId w:val="1008"/>
        </w:numPr>
      </w:pPr>
      <w:r>
        <w:t xml:space="preserve">Lifecycle status</w:t>
      </w:r>
    </w:p>
    <w:p>
      <w:r>
        <w:pict>
          <v:rect style="width:0;height:1.5pt" o:hralign="center" o:hrstd="t" o:hr="t"/>
        </w:pict>
      </w:r>
    </w:p>
    <w:bookmarkEnd w:id="33"/>
    <w:bookmarkStart w:id="34" w:name="domain-3"/>
    <w:p>
      <w:pPr>
        <w:pStyle w:val="Heading2"/>
      </w:pPr>
      <w:r>
        <w:t xml:space="preserve">Domain 3</w:t>
      </w:r>
    </w:p>
    <w:p>
      <w:pPr>
        <w:pStyle w:val="FirstParagraph"/>
      </w:pPr>
      <w:r>
        <w:t xml:space="preserve">Demand Planning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09"/>
        </w:numPr>
      </w:pPr>
      <w:r>
        <w:t xml:space="preserve">Student enrolment capture</w:t>
      </w:r>
    </w:p>
    <w:p>
      <w:pPr>
        <w:pStyle w:val="Compact"/>
        <w:numPr>
          <w:ilvl w:val="0"/>
          <w:numId w:val="1009"/>
        </w:numPr>
      </w:pPr>
      <w:r>
        <w:t xml:space="preserve">Demand calculation</w:t>
      </w:r>
    </w:p>
    <w:p>
      <w:pPr>
        <w:pStyle w:val="Compact"/>
        <w:numPr>
          <w:ilvl w:val="0"/>
          <w:numId w:val="1009"/>
        </w:numPr>
      </w:pPr>
      <w:r>
        <w:t xml:space="preserve">Forecast generation</w:t>
      </w:r>
    </w:p>
    <w:p>
      <w:pPr>
        <w:pStyle w:val="Compact"/>
        <w:numPr>
          <w:ilvl w:val="0"/>
          <w:numId w:val="1009"/>
        </w:numPr>
      </w:pPr>
      <w:r>
        <w:t xml:space="preserve">Allocation planning</w:t>
      </w:r>
    </w:p>
    <w:p>
      <w:pPr>
        <w:pStyle w:val="Compact"/>
        <w:numPr>
          <w:ilvl w:val="0"/>
          <w:numId w:val="1009"/>
        </w:numPr>
      </w:pPr>
      <w:r>
        <w:t xml:space="preserve">Approval workflow</w:t>
      </w:r>
    </w:p>
    <w:p>
      <w:r>
        <w:pict>
          <v:rect style="width:0;height:1.5pt" o:hralign="center" o:hrstd="t" o:hr="t"/>
        </w:pict>
      </w:r>
    </w:p>
    <w:bookmarkEnd w:id="34"/>
    <w:bookmarkStart w:id="35" w:name="domain-4"/>
    <w:p>
      <w:pPr>
        <w:pStyle w:val="Heading2"/>
      </w:pPr>
      <w:r>
        <w:t xml:space="preserve">Domain 4</w:t>
      </w:r>
    </w:p>
    <w:p>
      <w:pPr>
        <w:pStyle w:val="FirstParagraph"/>
      </w:pPr>
      <w:r>
        <w:t xml:space="preserve">Procurement Management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10"/>
        </w:numPr>
      </w:pPr>
      <w:r>
        <w:t xml:space="preserve">Procurement planning</w:t>
      </w:r>
    </w:p>
    <w:p>
      <w:pPr>
        <w:pStyle w:val="Compact"/>
        <w:numPr>
          <w:ilvl w:val="0"/>
          <w:numId w:val="1010"/>
        </w:numPr>
      </w:pPr>
      <w:r>
        <w:t xml:space="preserve">Supplier registry</w:t>
      </w:r>
    </w:p>
    <w:p>
      <w:pPr>
        <w:pStyle w:val="Compact"/>
        <w:numPr>
          <w:ilvl w:val="0"/>
          <w:numId w:val="1010"/>
        </w:numPr>
      </w:pPr>
      <w:r>
        <w:t xml:space="preserve">Contract registry</w:t>
      </w:r>
    </w:p>
    <w:p>
      <w:pPr>
        <w:pStyle w:val="Compact"/>
        <w:numPr>
          <w:ilvl w:val="0"/>
          <w:numId w:val="1010"/>
        </w:numPr>
      </w:pPr>
      <w:r>
        <w:t xml:space="preserve">Delivery schedules</w:t>
      </w:r>
    </w:p>
    <w:p>
      <w:pPr>
        <w:pStyle w:val="Compact"/>
        <w:numPr>
          <w:ilvl w:val="0"/>
          <w:numId w:val="1010"/>
        </w:numPr>
      </w:pPr>
      <w:r>
        <w:t xml:space="preserve">Procurement monitoring</w:t>
      </w:r>
    </w:p>
    <w:p>
      <w:r>
        <w:pict>
          <v:rect style="width:0;height:1.5pt" o:hralign="center" o:hrstd="t" o:hr="t"/>
        </w:pict>
      </w:r>
    </w:p>
    <w:bookmarkEnd w:id="35"/>
    <w:bookmarkStart w:id="36" w:name="domain-5"/>
    <w:p>
      <w:pPr>
        <w:pStyle w:val="Heading2"/>
      </w:pPr>
      <w:r>
        <w:t xml:space="preserve">Domain 5</w:t>
      </w:r>
    </w:p>
    <w:p>
      <w:pPr>
        <w:pStyle w:val="FirstParagraph"/>
      </w:pPr>
      <w:r>
        <w:t xml:space="preserve">Warehouse Management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11"/>
        </w:numPr>
      </w:pPr>
      <w:r>
        <w:t xml:space="preserve">Goods receipt</w:t>
      </w:r>
    </w:p>
    <w:p>
      <w:pPr>
        <w:pStyle w:val="Compact"/>
        <w:numPr>
          <w:ilvl w:val="0"/>
          <w:numId w:val="1011"/>
        </w:numPr>
      </w:pPr>
      <w:r>
        <w:t xml:space="preserve">Stock issue</w:t>
      </w:r>
    </w:p>
    <w:p>
      <w:pPr>
        <w:pStyle w:val="Compact"/>
        <w:numPr>
          <w:ilvl w:val="0"/>
          <w:numId w:val="1011"/>
        </w:numPr>
      </w:pPr>
      <w:r>
        <w:t xml:space="preserve">Stock transfer</w:t>
      </w:r>
    </w:p>
    <w:p>
      <w:pPr>
        <w:pStyle w:val="Compact"/>
        <w:numPr>
          <w:ilvl w:val="0"/>
          <w:numId w:val="1011"/>
        </w:numPr>
      </w:pPr>
      <w:r>
        <w:t xml:space="preserve">Batch management</w:t>
      </w:r>
    </w:p>
    <w:p>
      <w:pPr>
        <w:pStyle w:val="Compact"/>
        <w:numPr>
          <w:ilvl w:val="0"/>
          <w:numId w:val="1011"/>
        </w:numPr>
      </w:pPr>
      <w:r>
        <w:t xml:space="preserve">Storage location management</w:t>
      </w:r>
    </w:p>
    <w:p>
      <w:pPr>
        <w:pStyle w:val="Compact"/>
        <w:numPr>
          <w:ilvl w:val="0"/>
          <w:numId w:val="1011"/>
        </w:numPr>
      </w:pPr>
      <w:r>
        <w:t xml:space="preserve">Inventory reconciliation</w:t>
      </w:r>
    </w:p>
    <w:p>
      <w:pPr>
        <w:pStyle w:val="Compact"/>
        <w:numPr>
          <w:ilvl w:val="0"/>
          <w:numId w:val="1011"/>
        </w:numPr>
      </w:pPr>
      <w:r>
        <w:t xml:space="preserve">Physical stock verification</w:t>
      </w:r>
    </w:p>
    <w:p>
      <w:r>
        <w:pict>
          <v:rect style="width:0;height:1.5pt" o:hralign="center" o:hrstd="t" o:hr="t"/>
        </w:pict>
      </w:r>
    </w:p>
    <w:bookmarkEnd w:id="36"/>
    <w:bookmarkStart w:id="37" w:name="domain-6"/>
    <w:p>
      <w:pPr>
        <w:pStyle w:val="Heading2"/>
      </w:pPr>
      <w:r>
        <w:t xml:space="preserve">Domain 6</w:t>
      </w:r>
    </w:p>
    <w:p>
      <w:pPr>
        <w:pStyle w:val="FirstParagraph"/>
      </w:pPr>
      <w:r>
        <w:t xml:space="preserve">Distribution Management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12"/>
        </w:numPr>
      </w:pPr>
      <w:r>
        <w:t xml:space="preserve">Shipment planning</w:t>
      </w:r>
    </w:p>
    <w:p>
      <w:pPr>
        <w:pStyle w:val="Compact"/>
        <w:numPr>
          <w:ilvl w:val="0"/>
          <w:numId w:val="1012"/>
        </w:numPr>
      </w:pPr>
      <w:r>
        <w:t xml:space="preserve">Delivery scheduling</w:t>
      </w:r>
    </w:p>
    <w:p>
      <w:pPr>
        <w:pStyle w:val="Compact"/>
        <w:numPr>
          <w:ilvl w:val="0"/>
          <w:numId w:val="1012"/>
        </w:numPr>
      </w:pPr>
      <w:r>
        <w:t xml:space="preserve">Route management</w:t>
      </w:r>
    </w:p>
    <w:p>
      <w:pPr>
        <w:pStyle w:val="Compact"/>
        <w:numPr>
          <w:ilvl w:val="0"/>
          <w:numId w:val="1012"/>
        </w:numPr>
      </w:pPr>
      <w:r>
        <w:t xml:space="preserve">Delivery confirmation</w:t>
      </w:r>
    </w:p>
    <w:p>
      <w:pPr>
        <w:pStyle w:val="Compact"/>
        <w:numPr>
          <w:ilvl w:val="0"/>
          <w:numId w:val="1012"/>
        </w:numPr>
      </w:pPr>
      <w:r>
        <w:t xml:space="preserve">Proof of delivery</w:t>
      </w:r>
    </w:p>
    <w:p>
      <w:pPr>
        <w:pStyle w:val="Compact"/>
        <w:numPr>
          <w:ilvl w:val="0"/>
          <w:numId w:val="1012"/>
        </w:numPr>
      </w:pPr>
      <w:r>
        <w:t xml:space="preserve">Exception reporting</w:t>
      </w:r>
    </w:p>
    <w:p>
      <w:r>
        <w:pict>
          <v:rect style="width:0;height:1.5pt" o:hralign="center" o:hrstd="t" o:hr="t"/>
        </w:pict>
      </w:r>
    </w:p>
    <w:bookmarkEnd w:id="37"/>
    <w:bookmarkStart w:id="38" w:name="domain-7"/>
    <w:p>
      <w:pPr>
        <w:pStyle w:val="Heading2"/>
      </w:pPr>
      <w:r>
        <w:t xml:space="preserve">Domain 7</w:t>
      </w:r>
    </w:p>
    <w:p>
      <w:pPr>
        <w:pStyle w:val="FirstParagraph"/>
      </w:pPr>
      <w:r>
        <w:t xml:space="preserve">School Inventory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13"/>
        </w:numPr>
      </w:pPr>
      <w:r>
        <w:t xml:space="preserve">Receipt of textbooks</w:t>
      </w:r>
    </w:p>
    <w:p>
      <w:pPr>
        <w:pStyle w:val="Compact"/>
        <w:numPr>
          <w:ilvl w:val="0"/>
          <w:numId w:val="1013"/>
        </w:numPr>
      </w:pPr>
      <w:r>
        <w:t xml:space="preserve">Department allocation</w:t>
      </w:r>
    </w:p>
    <w:p>
      <w:pPr>
        <w:pStyle w:val="Compact"/>
        <w:numPr>
          <w:ilvl w:val="0"/>
          <w:numId w:val="1013"/>
        </w:numPr>
      </w:pPr>
      <w:r>
        <w:t xml:space="preserve">Teacher allocation</w:t>
      </w:r>
    </w:p>
    <w:p>
      <w:pPr>
        <w:pStyle w:val="Compact"/>
        <w:numPr>
          <w:ilvl w:val="0"/>
          <w:numId w:val="1013"/>
        </w:numPr>
      </w:pPr>
      <w:r>
        <w:t xml:space="preserve">Student allocation</w:t>
      </w:r>
    </w:p>
    <w:p>
      <w:pPr>
        <w:pStyle w:val="Compact"/>
        <w:numPr>
          <w:ilvl w:val="0"/>
          <w:numId w:val="1013"/>
        </w:numPr>
      </w:pPr>
      <w:r>
        <w:t xml:space="preserve">Returns processing</w:t>
      </w:r>
    </w:p>
    <w:p>
      <w:pPr>
        <w:pStyle w:val="Compact"/>
        <w:numPr>
          <w:ilvl w:val="0"/>
          <w:numId w:val="1013"/>
        </w:numPr>
      </w:pPr>
      <w:r>
        <w:t xml:space="preserve">Condition assessment</w:t>
      </w:r>
    </w:p>
    <w:p>
      <w:pPr>
        <w:pStyle w:val="Compact"/>
        <w:numPr>
          <w:ilvl w:val="0"/>
          <w:numId w:val="1013"/>
        </w:numPr>
      </w:pPr>
      <w:r>
        <w:t xml:space="preserve">Lost and damaged register</w:t>
      </w:r>
    </w:p>
    <w:p>
      <w:r>
        <w:pict>
          <v:rect style="width:0;height:1.5pt" o:hralign="center" o:hrstd="t" o:hr="t"/>
        </w:pict>
      </w:r>
    </w:p>
    <w:bookmarkEnd w:id="38"/>
    <w:bookmarkStart w:id="39" w:name="domain-8"/>
    <w:p>
      <w:pPr>
        <w:pStyle w:val="Heading2"/>
      </w:pPr>
      <w:r>
        <w:t xml:space="preserve">Domain 8</w:t>
      </w:r>
    </w:p>
    <w:p>
      <w:pPr>
        <w:pStyle w:val="FirstParagraph"/>
      </w:pPr>
      <w:r>
        <w:t xml:space="preserve">Inspection and Audit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14"/>
        </w:numPr>
      </w:pPr>
      <w:r>
        <w:t xml:space="preserve">Inspection scheduling</w:t>
      </w:r>
    </w:p>
    <w:p>
      <w:pPr>
        <w:pStyle w:val="Compact"/>
        <w:numPr>
          <w:ilvl w:val="0"/>
          <w:numId w:val="1014"/>
        </w:numPr>
      </w:pPr>
      <w:r>
        <w:t xml:space="preserve">Digital checklists</w:t>
      </w:r>
    </w:p>
    <w:p>
      <w:pPr>
        <w:pStyle w:val="Compact"/>
        <w:numPr>
          <w:ilvl w:val="0"/>
          <w:numId w:val="1014"/>
        </w:numPr>
      </w:pPr>
      <w:r>
        <w:t xml:space="preserve">QR verification</w:t>
      </w:r>
    </w:p>
    <w:p>
      <w:pPr>
        <w:pStyle w:val="Compact"/>
        <w:numPr>
          <w:ilvl w:val="0"/>
          <w:numId w:val="1014"/>
        </w:numPr>
      </w:pPr>
      <w:r>
        <w:t xml:space="preserve">Compliance assessment</w:t>
      </w:r>
    </w:p>
    <w:p>
      <w:pPr>
        <w:pStyle w:val="Compact"/>
        <w:numPr>
          <w:ilvl w:val="0"/>
          <w:numId w:val="1014"/>
        </w:numPr>
      </w:pPr>
      <w:r>
        <w:t xml:space="preserve">Corrective action management</w:t>
      </w:r>
    </w:p>
    <w:p>
      <w:r>
        <w:pict>
          <v:rect style="width:0;height:1.5pt" o:hralign="center" o:hrstd="t" o:hr="t"/>
        </w:pict>
      </w:r>
    </w:p>
    <w:bookmarkEnd w:id="39"/>
    <w:bookmarkStart w:id="40" w:name="domain-9"/>
    <w:p>
      <w:pPr>
        <w:pStyle w:val="Heading2"/>
      </w:pPr>
      <w:r>
        <w:t xml:space="preserve">Domain 9</w:t>
      </w:r>
    </w:p>
    <w:p>
      <w:pPr>
        <w:pStyle w:val="FirstParagraph"/>
      </w:pPr>
      <w:r>
        <w:t xml:space="preserve">Analytics and Reporting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15"/>
        </w:numPr>
      </w:pPr>
      <w:r>
        <w:t xml:space="preserve">Executive dashboards</w:t>
      </w:r>
    </w:p>
    <w:p>
      <w:pPr>
        <w:pStyle w:val="Compact"/>
        <w:numPr>
          <w:ilvl w:val="0"/>
          <w:numId w:val="1015"/>
        </w:numPr>
      </w:pPr>
      <w:r>
        <w:t xml:space="preserve">Regional dashboards</w:t>
      </w:r>
    </w:p>
    <w:p>
      <w:pPr>
        <w:pStyle w:val="Compact"/>
        <w:numPr>
          <w:ilvl w:val="0"/>
          <w:numId w:val="1015"/>
        </w:numPr>
      </w:pPr>
      <w:r>
        <w:t xml:space="preserve">School dashboards</w:t>
      </w:r>
    </w:p>
    <w:p>
      <w:pPr>
        <w:pStyle w:val="Compact"/>
        <w:numPr>
          <w:ilvl w:val="0"/>
          <w:numId w:val="1015"/>
        </w:numPr>
      </w:pPr>
      <w:r>
        <w:t xml:space="preserve">KPI monitoring</w:t>
      </w:r>
    </w:p>
    <w:p>
      <w:pPr>
        <w:pStyle w:val="Compact"/>
        <w:numPr>
          <w:ilvl w:val="0"/>
          <w:numId w:val="1015"/>
        </w:numPr>
      </w:pPr>
      <w:r>
        <w:t xml:space="preserve">Trend analysis</w:t>
      </w:r>
    </w:p>
    <w:p>
      <w:pPr>
        <w:pStyle w:val="Compact"/>
        <w:numPr>
          <w:ilvl w:val="0"/>
          <w:numId w:val="1015"/>
        </w:numPr>
      </w:pPr>
      <w:r>
        <w:t xml:space="preserve">Forecast reports</w:t>
      </w:r>
    </w:p>
    <w:p>
      <w:r>
        <w:pict>
          <v:rect style="width:0;height:1.5pt" o:hralign="center" o:hrstd="t" o:hr="t"/>
        </w:pict>
      </w:r>
    </w:p>
    <w:bookmarkEnd w:id="40"/>
    <w:bookmarkStart w:id="41" w:name="domain-10"/>
    <w:p>
      <w:pPr>
        <w:pStyle w:val="Heading2"/>
      </w:pPr>
      <w:r>
        <w:t xml:space="preserve">Domain 10</w:t>
      </w:r>
    </w:p>
    <w:p>
      <w:pPr>
        <w:pStyle w:val="FirstParagraph"/>
      </w:pPr>
      <w:r>
        <w:t xml:space="preserve">User Administration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16"/>
        </w:numPr>
      </w:pPr>
      <w:r>
        <w:t xml:space="preserve">User registration</w:t>
      </w:r>
    </w:p>
    <w:p>
      <w:pPr>
        <w:pStyle w:val="Compact"/>
        <w:numPr>
          <w:ilvl w:val="0"/>
          <w:numId w:val="1016"/>
        </w:numPr>
      </w:pPr>
      <w:r>
        <w:t xml:space="preserve">Role assignment</w:t>
      </w:r>
    </w:p>
    <w:p>
      <w:pPr>
        <w:pStyle w:val="Compact"/>
        <w:numPr>
          <w:ilvl w:val="0"/>
          <w:numId w:val="1016"/>
        </w:numPr>
      </w:pPr>
      <w:r>
        <w:t xml:space="preserve">Permission management</w:t>
      </w:r>
    </w:p>
    <w:p>
      <w:pPr>
        <w:pStyle w:val="Compact"/>
        <w:numPr>
          <w:ilvl w:val="0"/>
          <w:numId w:val="1016"/>
        </w:numPr>
      </w:pPr>
      <w:r>
        <w:t xml:space="preserve">Password management</w:t>
      </w:r>
    </w:p>
    <w:p>
      <w:pPr>
        <w:pStyle w:val="Compact"/>
        <w:numPr>
          <w:ilvl w:val="0"/>
          <w:numId w:val="1016"/>
        </w:numPr>
      </w:pPr>
      <w:r>
        <w:t xml:space="preserve">Session management</w:t>
      </w:r>
    </w:p>
    <w:p>
      <w:pPr>
        <w:pStyle w:val="Compact"/>
        <w:numPr>
          <w:ilvl w:val="0"/>
          <w:numId w:val="1016"/>
        </w:numPr>
      </w:pPr>
      <w:r>
        <w:t xml:space="preserve">User activity monitoring</w:t>
      </w:r>
    </w:p>
    <w:p>
      <w:r>
        <w:pict>
          <v:rect style="width:0;height:1.5pt" o:hralign="center" o:hrstd="t" o:hr="t"/>
        </w:pict>
      </w:r>
    </w:p>
    <w:bookmarkEnd w:id="41"/>
    <w:bookmarkStart w:id="42" w:name="domain-11"/>
    <w:p>
      <w:pPr>
        <w:pStyle w:val="Heading2"/>
      </w:pPr>
      <w:r>
        <w:t xml:space="preserve">Domain 11</w:t>
      </w:r>
    </w:p>
    <w:p>
      <w:pPr>
        <w:pStyle w:val="FirstParagraph"/>
      </w:pPr>
      <w:r>
        <w:t xml:space="preserve">Notification Centre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17"/>
        </w:numPr>
      </w:pPr>
      <w:r>
        <w:t xml:space="preserve">SMS notifications</w:t>
      </w:r>
    </w:p>
    <w:p>
      <w:pPr>
        <w:pStyle w:val="Compact"/>
        <w:numPr>
          <w:ilvl w:val="0"/>
          <w:numId w:val="1017"/>
        </w:numPr>
      </w:pPr>
      <w:r>
        <w:t xml:space="preserve">Email notifications</w:t>
      </w:r>
    </w:p>
    <w:p>
      <w:pPr>
        <w:pStyle w:val="Compact"/>
        <w:numPr>
          <w:ilvl w:val="0"/>
          <w:numId w:val="1017"/>
        </w:numPr>
      </w:pPr>
      <w:r>
        <w:t xml:space="preserve">In-system alerts</w:t>
      </w:r>
    </w:p>
    <w:p>
      <w:pPr>
        <w:pStyle w:val="Compact"/>
        <w:numPr>
          <w:ilvl w:val="0"/>
          <w:numId w:val="1017"/>
        </w:numPr>
      </w:pPr>
      <w:r>
        <w:t xml:space="preserve">Low stock alerts</w:t>
      </w:r>
    </w:p>
    <w:p>
      <w:pPr>
        <w:pStyle w:val="Compact"/>
        <w:numPr>
          <w:ilvl w:val="0"/>
          <w:numId w:val="1017"/>
        </w:numPr>
      </w:pPr>
      <w:r>
        <w:t xml:space="preserve">Inspection reminders</w:t>
      </w:r>
    </w:p>
    <w:p>
      <w:pPr>
        <w:pStyle w:val="Compact"/>
        <w:numPr>
          <w:ilvl w:val="0"/>
          <w:numId w:val="1017"/>
        </w:numPr>
      </w:pPr>
      <w:r>
        <w:t xml:space="preserve">Distribution updates</w:t>
      </w:r>
    </w:p>
    <w:p>
      <w:r>
        <w:pict>
          <v:rect style="width:0;height:1.5pt" o:hralign="center" o:hrstd="t" o:hr="t"/>
        </w:pict>
      </w:r>
    </w:p>
    <w:bookmarkEnd w:id="42"/>
    <w:bookmarkStart w:id="43" w:name="domain-12"/>
    <w:p>
      <w:pPr>
        <w:pStyle w:val="Heading2"/>
      </w:pPr>
      <w:r>
        <w:t xml:space="preserve">Domain 12</w:t>
      </w:r>
    </w:p>
    <w:p>
      <w:pPr>
        <w:pStyle w:val="FirstParagraph"/>
      </w:pPr>
      <w:r>
        <w:t xml:space="preserve">System Administration</w:t>
      </w:r>
    </w:p>
    <w:p>
      <w:pPr>
        <w:pStyle w:val="BodyText"/>
      </w:pPr>
      <w:r>
        <w:t xml:space="preserve">Functions include:</w:t>
      </w:r>
    </w:p>
    <w:p>
      <w:pPr>
        <w:pStyle w:val="Compact"/>
        <w:numPr>
          <w:ilvl w:val="0"/>
          <w:numId w:val="1018"/>
        </w:numPr>
      </w:pPr>
      <w:r>
        <w:t xml:space="preserve">System configuration</w:t>
      </w:r>
    </w:p>
    <w:p>
      <w:pPr>
        <w:pStyle w:val="Compact"/>
        <w:numPr>
          <w:ilvl w:val="0"/>
          <w:numId w:val="1018"/>
        </w:numPr>
      </w:pPr>
      <w:r>
        <w:t xml:space="preserve">Reference data</w:t>
      </w:r>
    </w:p>
    <w:p>
      <w:pPr>
        <w:pStyle w:val="Compact"/>
        <w:numPr>
          <w:ilvl w:val="0"/>
          <w:numId w:val="1018"/>
        </w:numPr>
      </w:pPr>
      <w:r>
        <w:t xml:space="preserve">Backup management</w:t>
      </w:r>
    </w:p>
    <w:p>
      <w:pPr>
        <w:pStyle w:val="Compact"/>
        <w:numPr>
          <w:ilvl w:val="0"/>
          <w:numId w:val="1018"/>
        </w:numPr>
      </w:pPr>
      <w:r>
        <w:t xml:space="preserve">Audit logs</w:t>
      </w:r>
    </w:p>
    <w:p>
      <w:pPr>
        <w:pStyle w:val="Compact"/>
        <w:numPr>
          <w:ilvl w:val="0"/>
          <w:numId w:val="1018"/>
        </w:numPr>
      </w:pPr>
      <w:r>
        <w:t xml:space="preserve">Synchronization monitoring</w:t>
      </w:r>
    </w:p>
    <w:p>
      <w:pPr>
        <w:pStyle w:val="Compact"/>
        <w:numPr>
          <w:ilvl w:val="0"/>
          <w:numId w:val="1018"/>
        </w:numPr>
      </w:pPr>
      <w:r>
        <w:t xml:space="preserve">API configuration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unctional-requirements"/>
    <w:p>
      <w:pPr>
        <w:pStyle w:val="Heading1"/>
      </w:pPr>
      <w:r>
        <w:t xml:space="preserve">16.5 Functional Requirements</w:t>
      </w:r>
    </w:p>
    <w:p>
      <w:pPr>
        <w:pStyle w:val="FirstParagraph"/>
      </w:pPr>
      <w:r>
        <w:t xml:space="preserve">Each functional requirement shall include:</w:t>
      </w:r>
    </w:p>
    <w:p>
      <w:pPr>
        <w:pStyle w:val="Compact"/>
        <w:numPr>
          <w:ilvl w:val="0"/>
          <w:numId w:val="1019"/>
        </w:numPr>
      </w:pPr>
      <w:r>
        <w:t xml:space="preserve">Requirement ID</w:t>
      </w:r>
    </w:p>
    <w:p>
      <w:pPr>
        <w:pStyle w:val="Compact"/>
        <w:numPr>
          <w:ilvl w:val="0"/>
          <w:numId w:val="1019"/>
        </w:numPr>
      </w:pPr>
      <w:r>
        <w:t xml:space="preserve">Requirement Name</w:t>
      </w:r>
    </w:p>
    <w:p>
      <w:pPr>
        <w:pStyle w:val="Compact"/>
        <w:numPr>
          <w:ilvl w:val="0"/>
          <w:numId w:val="1019"/>
        </w:numPr>
      </w:pPr>
      <w:r>
        <w:t xml:space="preserve">Business Objective</w:t>
      </w:r>
    </w:p>
    <w:p>
      <w:pPr>
        <w:pStyle w:val="Compact"/>
        <w:numPr>
          <w:ilvl w:val="0"/>
          <w:numId w:val="1019"/>
        </w:numPr>
      </w:pPr>
      <w:r>
        <w:t xml:space="preserve">Description</w:t>
      </w:r>
    </w:p>
    <w:p>
      <w:pPr>
        <w:pStyle w:val="Compact"/>
        <w:numPr>
          <w:ilvl w:val="0"/>
          <w:numId w:val="1019"/>
        </w:numPr>
      </w:pPr>
      <w:r>
        <w:t xml:space="preserve">User Role</w:t>
      </w:r>
    </w:p>
    <w:p>
      <w:pPr>
        <w:pStyle w:val="Compact"/>
        <w:numPr>
          <w:ilvl w:val="0"/>
          <w:numId w:val="1019"/>
        </w:numPr>
      </w:pPr>
      <w:r>
        <w:t xml:space="preserve">Preconditions</w:t>
      </w:r>
    </w:p>
    <w:p>
      <w:pPr>
        <w:pStyle w:val="Compact"/>
        <w:numPr>
          <w:ilvl w:val="0"/>
          <w:numId w:val="1019"/>
        </w:numPr>
      </w:pPr>
      <w:r>
        <w:t xml:space="preserve">Workflow</w:t>
      </w:r>
    </w:p>
    <w:p>
      <w:pPr>
        <w:pStyle w:val="Compact"/>
        <w:numPr>
          <w:ilvl w:val="0"/>
          <w:numId w:val="1019"/>
        </w:numPr>
      </w:pPr>
      <w:r>
        <w:t xml:space="preserve">Validation Rules</w:t>
      </w:r>
    </w:p>
    <w:p>
      <w:pPr>
        <w:pStyle w:val="Compact"/>
        <w:numPr>
          <w:ilvl w:val="0"/>
          <w:numId w:val="1019"/>
        </w:numPr>
      </w:pPr>
      <w:r>
        <w:t xml:space="preserve">Outputs</w:t>
      </w:r>
    </w:p>
    <w:p>
      <w:pPr>
        <w:pStyle w:val="Compact"/>
        <w:numPr>
          <w:ilvl w:val="0"/>
          <w:numId w:val="1019"/>
        </w:numPr>
      </w:pPr>
      <w:r>
        <w:t xml:space="preserve">Reports Generated</w:t>
      </w:r>
    </w:p>
    <w:p>
      <w:pPr>
        <w:pStyle w:val="Compact"/>
        <w:numPr>
          <w:ilvl w:val="0"/>
          <w:numId w:val="1019"/>
        </w:numPr>
      </w:pPr>
      <w:r>
        <w:t xml:space="preserve">Related Modules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Requirement ID:</w:t>
      </w:r>
      <w:r>
        <w:t xml:space="preserve"> </w:t>
      </w:r>
      <w:r>
        <w:t xml:space="preserve">FR-TXT-001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Register New Textbook</w:t>
      </w:r>
    </w:p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Ensure every approved textbook is uniquely identified before entering the national supply chain.</w:t>
      </w:r>
    </w:p>
    <w:p>
      <w:pPr>
        <w:pStyle w:val="BodyText"/>
      </w:pPr>
      <w:r>
        <w:rPr>
          <w:b/>
          <w:bCs/>
        </w:rPr>
        <w:t xml:space="preserve">Primary Users:</w:t>
      </w:r>
    </w:p>
    <w:p>
      <w:pPr>
        <w:pStyle w:val="Compact"/>
        <w:numPr>
          <w:ilvl w:val="0"/>
          <w:numId w:val="1020"/>
        </w:numPr>
      </w:pPr>
      <w:r>
        <w:t xml:space="preserve">National Administrator</w:t>
      </w:r>
    </w:p>
    <w:p>
      <w:pPr>
        <w:pStyle w:val="Compact"/>
        <w:numPr>
          <w:ilvl w:val="0"/>
          <w:numId w:val="1020"/>
        </w:numPr>
      </w:pPr>
      <w:r>
        <w:t xml:space="preserve">Curriculum Officer</w:t>
      </w:r>
    </w:p>
    <w:p>
      <w:pPr>
        <w:pStyle w:val="FirstParagraph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A unique textbook record linked to subject, grade, edition, publisher, procurement cycle, and lifecycle status.</w:t>
      </w:r>
    </w:p>
    <w:p>
      <w:r>
        <w:pict>
          <v:rect style="width:0;height:1.5pt" o:hralign="center" o:hrstd="t" o:hr="t"/>
        </w:pict>
      </w:r>
    </w:p>
    <w:bookmarkEnd w:id="45"/>
    <w:bookmarkStart w:id="46" w:name="workflow-framework"/>
    <w:p>
      <w:pPr>
        <w:pStyle w:val="Heading1"/>
      </w:pPr>
      <w:r>
        <w:t xml:space="preserve">16.6 Workflow Framework</w:t>
      </w:r>
    </w:p>
    <w:p>
      <w:pPr>
        <w:pStyle w:val="FirstParagraph"/>
      </w:pPr>
      <w:r>
        <w:t xml:space="preserve">Every business process will be documented using a standard structure:</w:t>
      </w:r>
    </w:p>
    <w:p>
      <w:pPr>
        <w:pStyle w:val="Compact"/>
        <w:numPr>
          <w:ilvl w:val="0"/>
          <w:numId w:val="1021"/>
        </w:numPr>
      </w:pPr>
      <w:r>
        <w:t xml:space="preserve">Initiation</w:t>
      </w:r>
    </w:p>
    <w:p>
      <w:pPr>
        <w:pStyle w:val="Compact"/>
        <w:numPr>
          <w:ilvl w:val="0"/>
          <w:numId w:val="1021"/>
        </w:numPr>
      </w:pPr>
      <w:r>
        <w:t xml:space="preserve">Validation</w:t>
      </w:r>
    </w:p>
    <w:p>
      <w:pPr>
        <w:pStyle w:val="Compact"/>
        <w:numPr>
          <w:ilvl w:val="0"/>
          <w:numId w:val="1021"/>
        </w:numPr>
      </w:pPr>
      <w:r>
        <w:t xml:space="preserve">Approval</w:t>
      </w:r>
    </w:p>
    <w:p>
      <w:pPr>
        <w:pStyle w:val="Compact"/>
        <w:numPr>
          <w:ilvl w:val="0"/>
          <w:numId w:val="1021"/>
        </w:numPr>
      </w:pPr>
      <w:r>
        <w:t xml:space="preserve">Processing</w:t>
      </w:r>
    </w:p>
    <w:p>
      <w:pPr>
        <w:pStyle w:val="Compact"/>
        <w:numPr>
          <w:ilvl w:val="0"/>
          <w:numId w:val="1021"/>
        </w:numPr>
      </w:pPr>
      <w:r>
        <w:t xml:space="preserve">Verification</w:t>
      </w:r>
    </w:p>
    <w:p>
      <w:pPr>
        <w:pStyle w:val="Compact"/>
        <w:numPr>
          <w:ilvl w:val="0"/>
          <w:numId w:val="1021"/>
        </w:numPr>
      </w:pPr>
      <w:r>
        <w:t xml:space="preserve">Completion</w:t>
      </w:r>
    </w:p>
    <w:p>
      <w:pPr>
        <w:pStyle w:val="Compact"/>
        <w:numPr>
          <w:ilvl w:val="0"/>
          <w:numId w:val="1021"/>
        </w:numPr>
      </w:pPr>
      <w:r>
        <w:t xml:space="preserve">Audit Logging</w:t>
      </w:r>
    </w:p>
    <w:p>
      <w:pPr>
        <w:pStyle w:val="Compact"/>
        <w:numPr>
          <w:ilvl w:val="0"/>
          <w:numId w:val="1021"/>
        </w:numPr>
      </w:pPr>
      <w:r>
        <w:t xml:space="preserve">Reporting</w:t>
      </w:r>
    </w:p>
    <w:p>
      <w:pPr>
        <w:pStyle w:val="FirstParagraph"/>
      </w:pPr>
      <w:r>
        <w:t xml:space="preserve">This approach provides consistency across all modules and simplifies user training and system maintenance.</w:t>
      </w:r>
    </w:p>
    <w:p>
      <w:r>
        <w:pict>
          <v:rect style="width:0;height:1.5pt" o:hralign="center" o:hrstd="t" o:hr="t"/>
        </w:pict>
      </w:r>
    </w:p>
    <w:bookmarkEnd w:id="46"/>
    <w:bookmarkStart w:id="47" w:name="traceability-matrix"/>
    <w:p>
      <w:pPr>
        <w:pStyle w:val="Heading1"/>
      </w:pPr>
      <w:r>
        <w:t xml:space="preserve">16.7 Traceability Matrix</w:t>
      </w:r>
    </w:p>
    <w:p>
      <w:pPr>
        <w:pStyle w:val="FirstParagraph"/>
      </w:pPr>
      <w:r>
        <w:t xml:space="preserve">Every functional requirement will be traceable to:</w:t>
      </w:r>
    </w:p>
    <w:p>
      <w:pPr>
        <w:pStyle w:val="Compact"/>
        <w:numPr>
          <w:ilvl w:val="0"/>
          <w:numId w:val="1022"/>
        </w:numPr>
      </w:pPr>
      <w:r>
        <w:t xml:space="preserve">An operational problem identified in Volume I.</w:t>
      </w:r>
    </w:p>
    <w:p>
      <w:pPr>
        <w:pStyle w:val="Compact"/>
        <w:numPr>
          <w:ilvl w:val="0"/>
          <w:numId w:val="1022"/>
        </w:numPr>
      </w:pPr>
      <w:r>
        <w:t xml:space="preserve">A business objective.</w:t>
      </w:r>
    </w:p>
    <w:p>
      <w:pPr>
        <w:pStyle w:val="Compact"/>
        <w:numPr>
          <w:ilvl w:val="0"/>
          <w:numId w:val="1022"/>
        </w:numPr>
      </w:pPr>
      <w:r>
        <w:t xml:space="preserve">A user role.</w:t>
      </w:r>
    </w:p>
    <w:p>
      <w:pPr>
        <w:pStyle w:val="Compact"/>
        <w:numPr>
          <w:ilvl w:val="0"/>
          <w:numId w:val="1022"/>
        </w:numPr>
      </w:pPr>
      <w:r>
        <w:t xml:space="preserve">A workflow.</w:t>
      </w:r>
    </w:p>
    <w:p>
      <w:pPr>
        <w:pStyle w:val="Compact"/>
        <w:numPr>
          <w:ilvl w:val="0"/>
          <w:numId w:val="1022"/>
        </w:numPr>
      </w:pPr>
      <w:r>
        <w:t xml:space="preserve">A system module.</w:t>
      </w:r>
    </w:p>
    <w:p>
      <w:pPr>
        <w:pStyle w:val="Compact"/>
        <w:numPr>
          <w:ilvl w:val="0"/>
          <w:numId w:val="1022"/>
        </w:numPr>
      </w:pPr>
      <w:r>
        <w:t xml:space="preserve">A measurable outcome.</w:t>
      </w:r>
    </w:p>
    <w:p>
      <w:pPr>
        <w:pStyle w:val="FirstParagraph"/>
      </w:pPr>
      <w:r>
        <w:t xml:space="preserve">This ensures that every feature implemented in the platform has a clear operational justification and contributes directly to the Ministry’s objectives.</w:t>
      </w:r>
    </w:p>
    <w:p>
      <w:r>
        <w:pict>
          <v:rect style="width:0;height:1.5pt" o:hralign="center" o:hrstd="t" o:hr="t"/>
        </w:pict>
      </w:r>
    </w:p>
    <w:bookmarkEnd w:id="47"/>
    <w:bookmarkStart w:id="48" w:name="Xbd00adde63cde436947adad727b7f264b4952c4"/>
    <w:p>
      <w:pPr>
        <w:pStyle w:val="Heading1"/>
      </w:pPr>
      <w:r>
        <w:t xml:space="preserve">16.8 Transition to Detailed Module Specifications</w:t>
      </w:r>
    </w:p>
    <w:p>
      <w:pPr>
        <w:pStyle w:val="FirstParagraph"/>
      </w:pPr>
      <w:r>
        <w:t xml:space="preserve">This chapter establishes the overall functional framework for the platform.</w:t>
      </w:r>
    </w:p>
    <w:p>
      <w:pPr>
        <w:pStyle w:val="BodyText"/>
      </w:pPr>
      <w:r>
        <w:t xml:space="preserve">The following chapters will describe each module in detail, including business rules, user journeys, approval processes, data requirements, reports, notifications, dashboards, and integration points required to implement a fully operational National Education Resource Intelligence Platform.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2026-07-10T13:09:41Z</dcterms:created>
  <dcterms:modified xsi:type="dcterms:W3CDTF">2026-07-10T13:09:41Z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