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9"/>
    <w:p>
      <w:pPr>
        <w:pStyle w:val="Heading1"/>
      </w:pPr>
      <w:r>
        <w:t xml:space="preserve">CHAPTER 19</w:t>
      </w:r>
    </w:p>
    <w:bookmarkEnd w:id="20"/>
    <w:bookmarkStart w:id="22" w:name="Xe494bd74a3cacd9ba00e33883c25da8fb0efdfb"/>
    <w:p>
      <w:pPr>
        <w:pStyle w:val="Heading1"/>
      </w:pPr>
      <w:r>
        <w:t xml:space="preserve">MODULE 3 — NATIONAL TEXTBOOK REGISTRY &amp; DIGITAL PASSPORT</w:t>
      </w:r>
    </w:p>
    <w:bookmarkStart w:id="21" w:name="overview"/>
    <w:p>
      <w:pPr>
        <w:pStyle w:val="Heading2"/>
      </w:pPr>
      <w:r>
        <w:t xml:space="preserve">19.1 Overview</w:t>
      </w:r>
    </w:p>
    <w:p>
      <w:pPr>
        <w:pStyle w:val="FirstParagraph"/>
      </w:pPr>
      <w:r>
        <w:t xml:space="preserve">The National Textbook Registry (NTR) is the authoritative repository for every textbook approved for use within the Ministry of Secondary Education.</w:t>
      </w:r>
    </w:p>
    <w:p>
      <w:pPr>
        <w:pStyle w:val="BodyText"/>
      </w:pPr>
      <w:r>
        <w:t xml:space="preserve">Rather than treating textbooks as anonymous stock items, the platform assigns each approved textbook title—and where operationally appropriate, each physical copy—a digital identity that supports complete lifecycle management from curriculum approval through procurement, printing, warehousing, distribution, classroom use, recovery, redistribution, and retirement.</w:t>
      </w:r>
    </w:p>
    <w:p>
      <w:pPr>
        <w:pStyle w:val="BodyText"/>
      </w:pPr>
      <w:r>
        <w:t xml:space="preserve">The registry establishes a single national source of truth for textbook information.</w:t>
      </w:r>
    </w:p>
    <w:p>
      <w:r>
        <w:pict>
          <v:rect style="width:0;height:1.5pt" o:hralign="center" o:hrstd="t" o:hr="t"/>
        </w:pict>
      </w:r>
    </w:p>
    <w:bookmarkEnd w:id="21"/>
    <w:bookmarkEnd w:id="22"/>
    <w:bookmarkStart w:id="23" w:name="objectives"/>
    <w:p>
      <w:pPr>
        <w:pStyle w:val="Heading1"/>
      </w:pPr>
      <w:r>
        <w:t xml:space="preserve">19.2 Objectives</w:t>
      </w:r>
    </w:p>
    <w:p>
      <w:pPr>
        <w:pStyle w:val="FirstParagraph"/>
      </w:pPr>
      <w:r>
        <w:t xml:space="preserve">The National Textbook Registry seeks to:</w:t>
      </w:r>
    </w:p>
    <w:p>
      <w:pPr>
        <w:pStyle w:val="Compact"/>
        <w:numPr>
          <w:ilvl w:val="0"/>
          <w:numId w:val="1001"/>
        </w:numPr>
      </w:pPr>
      <w:r>
        <w:t xml:space="preserve">Establish an authoritative register of approved textbooks.</w:t>
      </w:r>
    </w:p>
    <w:p>
      <w:pPr>
        <w:pStyle w:val="Compact"/>
        <w:numPr>
          <w:ilvl w:val="0"/>
          <w:numId w:val="1001"/>
        </w:numPr>
      </w:pPr>
      <w:r>
        <w:t xml:space="preserve">Maintain curriculum alignment.</w:t>
      </w:r>
    </w:p>
    <w:p>
      <w:pPr>
        <w:pStyle w:val="Compact"/>
        <w:numPr>
          <w:ilvl w:val="0"/>
          <w:numId w:val="1001"/>
        </w:numPr>
      </w:pPr>
      <w:r>
        <w:t xml:space="preserve">Support procurement planning.</w:t>
      </w:r>
    </w:p>
    <w:p>
      <w:pPr>
        <w:pStyle w:val="Compact"/>
        <w:numPr>
          <w:ilvl w:val="0"/>
          <w:numId w:val="1001"/>
        </w:numPr>
      </w:pPr>
      <w:r>
        <w:t xml:space="preserve">Enable end-to-end traceability.</w:t>
      </w:r>
    </w:p>
    <w:p>
      <w:pPr>
        <w:pStyle w:val="Compact"/>
        <w:numPr>
          <w:ilvl w:val="0"/>
          <w:numId w:val="1001"/>
        </w:numPr>
      </w:pPr>
      <w:r>
        <w:t xml:space="preserve">Improve inventory accuracy.</w:t>
      </w:r>
    </w:p>
    <w:p>
      <w:pPr>
        <w:pStyle w:val="Compact"/>
        <w:numPr>
          <w:ilvl w:val="0"/>
          <w:numId w:val="1001"/>
        </w:numPr>
      </w:pPr>
      <w:r>
        <w:t xml:space="preserve">Support lifecycle management.</w:t>
      </w:r>
    </w:p>
    <w:p>
      <w:pPr>
        <w:pStyle w:val="Compact"/>
        <w:numPr>
          <w:ilvl w:val="0"/>
          <w:numId w:val="1001"/>
        </w:numPr>
      </w:pPr>
      <w:r>
        <w:t xml:space="preserve">Strengthen accountability.</w:t>
      </w:r>
    </w:p>
    <w:p>
      <w:pPr>
        <w:pStyle w:val="Compact"/>
        <w:numPr>
          <w:ilvl w:val="0"/>
          <w:numId w:val="1001"/>
        </w:numPr>
      </w:pPr>
      <w:r>
        <w:t xml:space="preserve">Improve evidence-based planning.</w:t>
      </w:r>
    </w:p>
    <w:p>
      <w:r>
        <w:pict>
          <v:rect style="width:0;height:1.5pt" o:hralign="center" o:hrstd="t" o:hr="t"/>
        </w:pict>
      </w:r>
    </w:p>
    <w:bookmarkEnd w:id="23"/>
    <w:bookmarkStart w:id="24" w:name="textbook-lifecycle"/>
    <w:p>
      <w:pPr>
        <w:pStyle w:val="Heading1"/>
      </w:pPr>
      <w:r>
        <w:t xml:space="preserve">19.3 Textbook Lifecycle</w:t>
      </w:r>
    </w:p>
    <w:p>
      <w:pPr>
        <w:pStyle w:val="FirstParagraph"/>
      </w:pPr>
      <w:r>
        <w:rPr>
          <w:rStyle w:val="VerbatimChar"/>
        </w:rPr>
        <w:t xml:space="preserve">text id="booklife01" Curriculum Approval         │         ▼ Textbook Registration         │         ▼ Procurement         │         ▼ Printing         │         ▼ Warehouse Receipt         │         ▼ Distribution         │         ▼ School Inventory         │         ▼ Student Assignment         │         ▼ Annual Verification         │         ▼ Repair / Replacement         │         ▼ Retirement</w:t>
      </w:r>
    </w:p>
    <w:p>
      <w:pPr>
        <w:pStyle w:val="BodyText"/>
      </w:pPr>
      <w:r>
        <w:t xml:space="preserve">Every stage generates a permanent digital history.</w:t>
      </w:r>
    </w:p>
    <w:p>
      <w:r>
        <w:pict>
          <v:rect style="width:0;height:1.5pt" o:hralign="center" o:hrstd="t" o:hr="t"/>
        </w:pict>
      </w:r>
    </w:p>
    <w:bookmarkEnd w:id="24"/>
    <w:bookmarkStart w:id="35" w:name="operational-challenges"/>
    <w:p>
      <w:pPr>
        <w:pStyle w:val="Heading1"/>
      </w:pPr>
      <w:r>
        <w:t xml:space="preserve">19.4 Operational Challenges</w:t>
      </w:r>
    </w:p>
    <w:bookmarkStart w:id="26" w:name="problem-101"/>
    <w:p>
      <w:pPr>
        <w:pStyle w:val="Heading2"/>
      </w:pPr>
      <w:r>
        <w:t xml:space="preserve">Problem 101</w:t>
      </w:r>
    </w:p>
    <w:bookmarkStart w:id="25" w:name="multiple-records-for-the-same-textbook"/>
    <w:p>
      <w:pPr>
        <w:pStyle w:val="Heading3"/>
      </w:pPr>
      <w:r>
        <w:t xml:space="preserve">Multiple Records for the Same Textbook</w:t>
      </w:r>
    </w:p>
    <w:p>
      <w:pPr>
        <w:pStyle w:val="FirstParagraph"/>
      </w:pPr>
      <w:r>
        <w:t xml:space="preserve">Different offices may refer to the same textbook using different names or codes.</w:t>
      </w:r>
    </w:p>
    <w:p>
      <w:pPr>
        <w:pStyle w:val="BodyText"/>
      </w:pPr>
      <w:r>
        <w:rPr>
          <w:b/>
          <w:bCs/>
        </w:rPr>
        <w:t xml:space="preserve">Solution</w:t>
      </w:r>
    </w:p>
    <w:p>
      <w:pPr>
        <w:pStyle w:val="BodyText"/>
      </w:pPr>
      <w:r>
        <w:t xml:space="preserve">Assign every approved textbook a unique National Textbook Identifier (NTID).</w:t>
      </w:r>
    </w:p>
    <w:p>
      <w:r>
        <w:pict>
          <v:rect style="width:0;height:1.5pt" o:hralign="center" o:hrstd="t" o:hr="t"/>
        </w:pict>
      </w:r>
    </w:p>
    <w:bookmarkEnd w:id="25"/>
    <w:bookmarkEnd w:id="26"/>
    <w:bookmarkStart w:id="28" w:name="problem-102"/>
    <w:p>
      <w:pPr>
        <w:pStyle w:val="Heading2"/>
      </w:pPr>
      <w:r>
        <w:t xml:space="preserve">Problem 102</w:t>
      </w:r>
    </w:p>
    <w:bookmarkStart w:id="27" w:name="X699f863c1824255ed6634e7f57ac503af294103"/>
    <w:p>
      <w:pPr>
        <w:pStyle w:val="Heading3"/>
      </w:pPr>
      <w:r>
        <w:t xml:space="preserve">Outdated Editions Remaining in Circulation</w:t>
      </w:r>
    </w:p>
    <w:p>
      <w:pPr>
        <w:pStyle w:val="FirstParagraph"/>
      </w:pPr>
      <w:r>
        <w:t xml:space="preserve">Older editions may continue to be distributed after curriculum revisions.</w:t>
      </w:r>
    </w:p>
    <w:p>
      <w:pPr>
        <w:pStyle w:val="BodyText"/>
      </w:pPr>
      <w:r>
        <w:rPr>
          <w:b/>
          <w:bCs/>
        </w:rPr>
        <w:t xml:space="preserve">Solution</w:t>
      </w:r>
    </w:p>
    <w:p>
      <w:pPr>
        <w:pStyle w:val="BodyText"/>
      </w:pPr>
      <w:r>
        <w:t xml:space="preserve">Version-controlled edition management linked directly to the approved curriculum.</w:t>
      </w:r>
    </w:p>
    <w:p>
      <w:r>
        <w:pict>
          <v:rect style="width:0;height:1.5pt" o:hralign="center" o:hrstd="t" o:hr="t"/>
        </w:pict>
      </w:r>
    </w:p>
    <w:bookmarkEnd w:id="27"/>
    <w:bookmarkEnd w:id="28"/>
    <w:bookmarkStart w:id="30" w:name="problem-103"/>
    <w:p>
      <w:pPr>
        <w:pStyle w:val="Heading2"/>
      </w:pPr>
      <w:r>
        <w:t xml:space="preserve">Problem 103</w:t>
      </w:r>
    </w:p>
    <w:bookmarkStart w:id="29" w:name="Xd360d40932876fa10d5a050820299f0435d89b0"/>
    <w:p>
      <w:pPr>
        <w:pStyle w:val="Heading3"/>
      </w:pPr>
      <w:r>
        <w:t xml:space="preserve">Limited Traceability of Individual Copies</w:t>
      </w:r>
    </w:p>
    <w:p>
      <w:pPr>
        <w:pStyle w:val="FirstParagraph"/>
      </w:pPr>
      <w:r>
        <w:t xml:space="preserve">Schools may know they received textbooks but not which physical copies were issued to learners.</w:t>
      </w:r>
    </w:p>
    <w:p>
      <w:pPr>
        <w:pStyle w:val="BodyText"/>
      </w:pPr>
      <w:r>
        <w:rPr>
          <w:b/>
          <w:bCs/>
        </w:rPr>
        <w:t xml:space="preserve">Solution</w:t>
      </w:r>
    </w:p>
    <w:p>
      <w:pPr>
        <w:pStyle w:val="BodyText"/>
      </w:pPr>
      <w:r>
        <w:t xml:space="preserve">Where operationally justified, assign QR codes or barcodes to individual copies or managed batches, depending on ministry policy and cost-benefit considerations.</w:t>
      </w:r>
    </w:p>
    <w:p>
      <w:r>
        <w:pict>
          <v:rect style="width:0;height:1.5pt" o:hralign="center" o:hrstd="t" o:hr="t"/>
        </w:pict>
      </w:r>
    </w:p>
    <w:bookmarkEnd w:id="29"/>
    <w:bookmarkEnd w:id="30"/>
    <w:bookmarkStart w:id="32" w:name="problem-104"/>
    <w:p>
      <w:pPr>
        <w:pStyle w:val="Heading2"/>
      </w:pPr>
      <w:r>
        <w:t xml:space="preserve">Problem 104</w:t>
      </w:r>
    </w:p>
    <w:bookmarkStart w:id="31" w:name="unknown-textbook-condition"/>
    <w:p>
      <w:pPr>
        <w:pStyle w:val="Heading3"/>
      </w:pPr>
      <w:r>
        <w:t xml:space="preserve">Unknown Textbook Condition</w:t>
      </w:r>
    </w:p>
    <w:p>
      <w:pPr>
        <w:pStyle w:val="FirstParagraph"/>
      </w:pPr>
      <w:r>
        <w:t xml:space="preserve">Condition information is often unavailable until replacement requests are submitted.</w:t>
      </w:r>
    </w:p>
    <w:p>
      <w:pPr>
        <w:pStyle w:val="BodyText"/>
      </w:pPr>
      <w:r>
        <w:rPr>
          <w:b/>
          <w:bCs/>
        </w:rPr>
        <w:t xml:space="preserve">Solution</w:t>
      </w:r>
    </w:p>
    <w:p>
      <w:pPr>
        <w:pStyle w:val="BodyText"/>
      </w:pPr>
      <w:r>
        <w:t xml:space="preserve">Maintain condition histories throughout the textbook lifecycle.</w:t>
      </w:r>
    </w:p>
    <w:p>
      <w:r>
        <w:pict>
          <v:rect style="width:0;height:1.5pt" o:hralign="center" o:hrstd="t" o:hr="t"/>
        </w:pict>
      </w:r>
    </w:p>
    <w:bookmarkEnd w:id="31"/>
    <w:bookmarkEnd w:id="32"/>
    <w:bookmarkStart w:id="34" w:name="problem-105"/>
    <w:p>
      <w:pPr>
        <w:pStyle w:val="Heading2"/>
      </w:pPr>
      <w:r>
        <w:t xml:space="preserve">Problem 105</w:t>
      </w:r>
    </w:p>
    <w:bookmarkStart w:id="33" w:name="limited-replacement-planning"/>
    <w:p>
      <w:pPr>
        <w:pStyle w:val="Heading3"/>
      </w:pPr>
      <w:r>
        <w:t xml:space="preserve">Limited Replacement Planning</w:t>
      </w:r>
    </w:p>
    <w:p>
      <w:pPr>
        <w:pStyle w:val="FirstParagraph"/>
      </w:pPr>
      <w:r>
        <w:t xml:space="preserve">Replacement decisions are often reactive.</w:t>
      </w:r>
    </w:p>
    <w:p>
      <w:pPr>
        <w:pStyle w:val="BodyText"/>
      </w:pPr>
      <w:r>
        <w:rPr>
          <w:b/>
          <w:bCs/>
        </w:rPr>
        <w:t xml:space="preserve">Solution</w:t>
      </w:r>
    </w:p>
    <w:p>
      <w:pPr>
        <w:pStyle w:val="BodyText"/>
      </w:pPr>
      <w:r>
        <w:t xml:space="preserve">Predict replacement requirements using condition trends, expected service life, and utilization data.</w:t>
      </w:r>
    </w:p>
    <w:p>
      <w:r>
        <w:pict>
          <v:rect style="width:0;height:1.5pt" o:hralign="center" o:hrstd="t" o:hr="t"/>
        </w:pict>
      </w:r>
    </w:p>
    <w:bookmarkEnd w:id="33"/>
    <w:bookmarkEnd w:id="34"/>
    <w:bookmarkEnd w:id="35"/>
    <w:bookmarkStart w:id="43" w:name="functional-requirements"/>
    <w:p>
      <w:pPr>
        <w:pStyle w:val="Heading1"/>
      </w:pPr>
      <w:r>
        <w:t xml:space="preserve">19.5 Functional Requirements</w:t>
      </w:r>
    </w:p>
    <w:bookmarkStart w:id="36" w:name="fr-txt-001"/>
    <w:p>
      <w:pPr>
        <w:pStyle w:val="Heading3"/>
      </w:pPr>
      <w:r>
        <w:t xml:space="preserve">FR-TXT-001</w:t>
      </w:r>
    </w:p>
    <w:p>
      <w:pPr>
        <w:pStyle w:val="FirstParagraph"/>
      </w:pPr>
      <w:r>
        <w:t xml:space="preserve">Register New Textbook</w:t>
      </w:r>
    </w:p>
    <w:p>
      <w:pPr>
        <w:pStyle w:val="BodyText"/>
      </w:pPr>
      <w:r>
        <w:t xml:space="preserve">Create a new textbook record after approval by the relevant ministry authority.</w:t>
      </w:r>
    </w:p>
    <w:p>
      <w:r>
        <w:pict>
          <v:rect style="width:0;height:1.5pt" o:hralign="center" o:hrstd="t" o:hr="t"/>
        </w:pict>
      </w:r>
    </w:p>
    <w:bookmarkEnd w:id="36"/>
    <w:bookmarkStart w:id="37" w:name="fr-txt-002"/>
    <w:p>
      <w:pPr>
        <w:pStyle w:val="Heading3"/>
      </w:pPr>
      <w:r>
        <w:t xml:space="preserve">FR-TXT-002</w:t>
      </w:r>
    </w:p>
    <w:p>
      <w:pPr>
        <w:pStyle w:val="FirstParagraph"/>
      </w:pPr>
      <w:r>
        <w:t xml:space="preserve">Edition Management</w:t>
      </w:r>
    </w:p>
    <w:p>
      <w:pPr>
        <w:pStyle w:val="BodyText"/>
      </w:pPr>
      <w:r>
        <w:t xml:space="preserve">Maintain approved editions, publication history, and retirement status.</w:t>
      </w:r>
    </w:p>
    <w:p>
      <w:r>
        <w:pict>
          <v:rect style="width:0;height:1.5pt" o:hralign="center" o:hrstd="t" o:hr="t"/>
        </w:pict>
      </w:r>
    </w:p>
    <w:bookmarkEnd w:id="37"/>
    <w:bookmarkStart w:id="38" w:name="fr-txt-003"/>
    <w:p>
      <w:pPr>
        <w:pStyle w:val="Heading3"/>
      </w:pPr>
      <w:r>
        <w:t xml:space="preserve">FR-TXT-003</w:t>
      </w:r>
    </w:p>
    <w:p>
      <w:pPr>
        <w:pStyle w:val="FirstParagraph"/>
      </w:pPr>
      <w:r>
        <w:t xml:space="preserve">Curriculum Mapping</w:t>
      </w:r>
    </w:p>
    <w:p>
      <w:pPr>
        <w:pStyle w:val="BodyText"/>
      </w:pPr>
      <w:r>
        <w:t xml:space="preserve">Associate textbooks with:</w:t>
      </w:r>
    </w:p>
    <w:p>
      <w:pPr>
        <w:pStyle w:val="Compact"/>
        <w:numPr>
          <w:ilvl w:val="0"/>
          <w:numId w:val="1002"/>
        </w:numPr>
      </w:pPr>
      <w:r>
        <w:t xml:space="preserve">Subject</w:t>
      </w:r>
    </w:p>
    <w:p>
      <w:pPr>
        <w:pStyle w:val="Compact"/>
        <w:numPr>
          <w:ilvl w:val="0"/>
          <w:numId w:val="1002"/>
        </w:numPr>
      </w:pPr>
      <w:r>
        <w:t xml:space="preserve">Grade</w:t>
      </w:r>
    </w:p>
    <w:p>
      <w:pPr>
        <w:pStyle w:val="Compact"/>
        <w:numPr>
          <w:ilvl w:val="0"/>
          <w:numId w:val="1002"/>
        </w:numPr>
      </w:pPr>
      <w:r>
        <w:t xml:space="preserve">Curriculum</w:t>
      </w:r>
    </w:p>
    <w:p>
      <w:pPr>
        <w:pStyle w:val="Compact"/>
        <w:numPr>
          <w:ilvl w:val="0"/>
          <w:numId w:val="1002"/>
        </w:numPr>
      </w:pPr>
      <w:r>
        <w:t xml:space="preserve">Academic year</w:t>
      </w:r>
    </w:p>
    <w:p>
      <w:pPr>
        <w:pStyle w:val="Compact"/>
        <w:numPr>
          <w:ilvl w:val="0"/>
          <w:numId w:val="1002"/>
        </w:numPr>
      </w:pPr>
      <w:r>
        <w:t xml:space="preserve">Approval status</w:t>
      </w:r>
    </w:p>
    <w:p>
      <w:r>
        <w:pict>
          <v:rect style="width:0;height:1.5pt" o:hralign="center" o:hrstd="t" o:hr="t"/>
        </w:pict>
      </w:r>
    </w:p>
    <w:bookmarkEnd w:id="38"/>
    <w:bookmarkStart w:id="39" w:name="fr-txt-004"/>
    <w:p>
      <w:pPr>
        <w:pStyle w:val="Heading3"/>
      </w:pPr>
      <w:r>
        <w:t xml:space="preserve">FR-TXT-004</w:t>
      </w:r>
    </w:p>
    <w:p>
      <w:pPr>
        <w:pStyle w:val="FirstParagraph"/>
      </w:pPr>
      <w:r>
        <w:t xml:space="preserve">Digital Passport</w:t>
      </w:r>
    </w:p>
    <w:p>
      <w:pPr>
        <w:pStyle w:val="BodyText"/>
      </w:pPr>
      <w:r>
        <w:t xml:space="preserve">Each textbook record maintains:</w:t>
      </w:r>
    </w:p>
    <w:p>
      <w:pPr>
        <w:pStyle w:val="Compact"/>
        <w:numPr>
          <w:ilvl w:val="0"/>
          <w:numId w:val="1003"/>
        </w:numPr>
      </w:pPr>
      <w:r>
        <w:t xml:space="preserve">Identity</w:t>
      </w:r>
    </w:p>
    <w:p>
      <w:pPr>
        <w:pStyle w:val="Compact"/>
        <w:numPr>
          <w:ilvl w:val="0"/>
          <w:numId w:val="1003"/>
        </w:numPr>
      </w:pPr>
      <w:r>
        <w:t xml:space="preserve">Ownership</w:t>
      </w:r>
    </w:p>
    <w:p>
      <w:pPr>
        <w:pStyle w:val="Compact"/>
        <w:numPr>
          <w:ilvl w:val="0"/>
          <w:numId w:val="1003"/>
        </w:numPr>
      </w:pPr>
      <w:r>
        <w:t xml:space="preserve">Lifecycle status</w:t>
      </w:r>
    </w:p>
    <w:p>
      <w:pPr>
        <w:pStyle w:val="Compact"/>
        <w:numPr>
          <w:ilvl w:val="0"/>
          <w:numId w:val="1003"/>
        </w:numPr>
      </w:pPr>
      <w:r>
        <w:t xml:space="preserve">Movement history</w:t>
      </w:r>
    </w:p>
    <w:p>
      <w:pPr>
        <w:pStyle w:val="Compact"/>
        <w:numPr>
          <w:ilvl w:val="0"/>
          <w:numId w:val="1003"/>
        </w:numPr>
      </w:pPr>
      <w:r>
        <w:t xml:space="preserve">Condition history</w:t>
      </w:r>
    </w:p>
    <w:p>
      <w:pPr>
        <w:pStyle w:val="Compact"/>
        <w:numPr>
          <w:ilvl w:val="0"/>
          <w:numId w:val="1003"/>
        </w:numPr>
      </w:pPr>
      <w:r>
        <w:t xml:space="preserve">Allocation history</w:t>
      </w:r>
    </w:p>
    <w:p>
      <w:r>
        <w:pict>
          <v:rect style="width:0;height:1.5pt" o:hralign="center" o:hrstd="t" o:hr="t"/>
        </w:pict>
      </w:r>
    </w:p>
    <w:bookmarkEnd w:id="39"/>
    <w:bookmarkStart w:id="40" w:name="fr-txt-005"/>
    <w:p>
      <w:pPr>
        <w:pStyle w:val="Heading3"/>
      </w:pPr>
      <w:r>
        <w:t xml:space="preserve">FR-TXT-005</w:t>
      </w:r>
    </w:p>
    <w:p>
      <w:pPr>
        <w:pStyle w:val="FirstParagraph"/>
      </w:pPr>
      <w:r>
        <w:t xml:space="preserve">QR/Barcode Management</w:t>
      </w:r>
    </w:p>
    <w:p>
      <w:pPr>
        <w:pStyle w:val="BodyText"/>
      </w:pPr>
      <w:r>
        <w:t xml:space="preserve">Generate and manage identifiers according to deployment policy.</w:t>
      </w:r>
    </w:p>
    <w:p>
      <w:r>
        <w:pict>
          <v:rect style="width:0;height:1.5pt" o:hralign="center" o:hrstd="t" o:hr="t"/>
        </w:pict>
      </w:r>
    </w:p>
    <w:bookmarkEnd w:id="40"/>
    <w:bookmarkStart w:id="41" w:name="fr-txt-006"/>
    <w:p>
      <w:pPr>
        <w:pStyle w:val="Heading3"/>
      </w:pPr>
      <w:r>
        <w:t xml:space="preserve">FR-TXT-006</w:t>
      </w:r>
    </w:p>
    <w:p>
      <w:pPr>
        <w:pStyle w:val="FirstParagraph"/>
      </w:pPr>
      <w:r>
        <w:t xml:space="preserve">Lifecycle Status</w:t>
      </w:r>
    </w:p>
    <w:p>
      <w:pPr>
        <w:pStyle w:val="BodyText"/>
      </w:pPr>
      <w:r>
        <w:t xml:space="preserve">Track stages such as:</w:t>
      </w:r>
    </w:p>
    <w:p>
      <w:pPr>
        <w:pStyle w:val="Compact"/>
        <w:numPr>
          <w:ilvl w:val="0"/>
          <w:numId w:val="1004"/>
        </w:numPr>
      </w:pPr>
      <w:r>
        <w:t xml:space="preserve">Approved</w:t>
      </w:r>
    </w:p>
    <w:p>
      <w:pPr>
        <w:pStyle w:val="Compact"/>
        <w:numPr>
          <w:ilvl w:val="0"/>
          <w:numId w:val="1004"/>
        </w:numPr>
      </w:pPr>
      <w:r>
        <w:t xml:space="preserve">Ordered</w:t>
      </w:r>
    </w:p>
    <w:p>
      <w:pPr>
        <w:pStyle w:val="Compact"/>
        <w:numPr>
          <w:ilvl w:val="0"/>
          <w:numId w:val="1004"/>
        </w:numPr>
      </w:pPr>
      <w:r>
        <w:t xml:space="preserve">Printed</w:t>
      </w:r>
    </w:p>
    <w:p>
      <w:pPr>
        <w:pStyle w:val="Compact"/>
        <w:numPr>
          <w:ilvl w:val="0"/>
          <w:numId w:val="1004"/>
        </w:numPr>
      </w:pPr>
      <w:r>
        <w:t xml:space="preserve">In warehouse</w:t>
      </w:r>
    </w:p>
    <w:p>
      <w:pPr>
        <w:pStyle w:val="Compact"/>
        <w:numPr>
          <w:ilvl w:val="0"/>
          <w:numId w:val="1004"/>
        </w:numPr>
      </w:pPr>
      <w:r>
        <w:t xml:space="preserve">Distributed</w:t>
      </w:r>
    </w:p>
    <w:p>
      <w:pPr>
        <w:pStyle w:val="Compact"/>
        <w:numPr>
          <w:ilvl w:val="0"/>
          <w:numId w:val="1004"/>
        </w:numPr>
      </w:pPr>
      <w:r>
        <w:t xml:space="preserve">Assigned</w:t>
      </w:r>
    </w:p>
    <w:p>
      <w:pPr>
        <w:pStyle w:val="Compact"/>
        <w:numPr>
          <w:ilvl w:val="0"/>
          <w:numId w:val="1004"/>
        </w:numPr>
      </w:pPr>
      <w:r>
        <w:t xml:space="preserve">Returned</w:t>
      </w:r>
    </w:p>
    <w:p>
      <w:pPr>
        <w:pStyle w:val="Compact"/>
        <w:numPr>
          <w:ilvl w:val="0"/>
          <w:numId w:val="1004"/>
        </w:numPr>
      </w:pPr>
      <w:r>
        <w:t xml:space="preserve">Under repair</w:t>
      </w:r>
    </w:p>
    <w:p>
      <w:pPr>
        <w:pStyle w:val="Compact"/>
        <w:numPr>
          <w:ilvl w:val="0"/>
          <w:numId w:val="1004"/>
        </w:numPr>
      </w:pPr>
      <w:r>
        <w:t xml:space="preserve">Retired</w:t>
      </w:r>
    </w:p>
    <w:p>
      <w:r>
        <w:pict>
          <v:rect style="width:0;height:1.5pt" o:hralign="center" o:hrstd="t" o:hr="t"/>
        </w:pict>
      </w:r>
    </w:p>
    <w:bookmarkEnd w:id="41"/>
    <w:bookmarkStart w:id="42" w:name="fr-txt-007"/>
    <w:p>
      <w:pPr>
        <w:pStyle w:val="Heading3"/>
      </w:pPr>
      <w:r>
        <w:t xml:space="preserve">FR-TXT-007</w:t>
      </w:r>
    </w:p>
    <w:p>
      <w:pPr>
        <w:pStyle w:val="FirstParagraph"/>
      </w:pPr>
      <w:r>
        <w:t xml:space="preserve">Replacement Planning</w:t>
      </w:r>
    </w:p>
    <w:p>
      <w:pPr>
        <w:pStyle w:val="BodyText"/>
      </w:pPr>
      <w:r>
        <w:t xml:space="preserve">Estimate replacement priorities based on operational data.</w:t>
      </w:r>
    </w:p>
    <w:p>
      <w:r>
        <w:pict>
          <v:rect style="width:0;height:1.5pt" o:hralign="center" o:hrstd="t" o:hr="t"/>
        </w:pict>
      </w:r>
    </w:p>
    <w:bookmarkEnd w:id="42"/>
    <w:bookmarkEnd w:id="43"/>
    <w:bookmarkStart w:id="48" w:name="textbook-profile"/>
    <w:p>
      <w:pPr>
        <w:pStyle w:val="Heading1"/>
      </w:pPr>
      <w:r>
        <w:t xml:space="preserve">19.6 Textbook Profile</w:t>
      </w:r>
    </w:p>
    <w:p>
      <w:pPr>
        <w:pStyle w:val="FirstParagraph"/>
      </w:pPr>
      <w:r>
        <w:t xml:space="preserve">Each textbook record includes:</w:t>
      </w:r>
    </w:p>
    <w:bookmarkStart w:id="44" w:name="general-information"/>
    <w:p>
      <w:pPr>
        <w:pStyle w:val="Heading2"/>
      </w:pPr>
      <w:r>
        <w:t xml:space="preserve">General Information</w:t>
      </w:r>
    </w:p>
    <w:p>
      <w:pPr>
        <w:pStyle w:val="Compact"/>
        <w:numPr>
          <w:ilvl w:val="0"/>
          <w:numId w:val="1005"/>
        </w:numPr>
      </w:pPr>
      <w:r>
        <w:t xml:space="preserve">National Textbook Identifier</w:t>
      </w:r>
    </w:p>
    <w:p>
      <w:pPr>
        <w:pStyle w:val="Compact"/>
        <w:numPr>
          <w:ilvl w:val="0"/>
          <w:numId w:val="1005"/>
        </w:numPr>
      </w:pPr>
      <w:r>
        <w:t xml:space="preserve">Title</w:t>
      </w:r>
    </w:p>
    <w:p>
      <w:pPr>
        <w:pStyle w:val="Compact"/>
        <w:numPr>
          <w:ilvl w:val="0"/>
          <w:numId w:val="1005"/>
        </w:numPr>
      </w:pPr>
      <w:r>
        <w:t xml:space="preserve">ISBN (if applicable)</w:t>
      </w:r>
    </w:p>
    <w:p>
      <w:pPr>
        <w:pStyle w:val="Compact"/>
        <w:numPr>
          <w:ilvl w:val="0"/>
          <w:numId w:val="1005"/>
        </w:numPr>
      </w:pPr>
      <w:r>
        <w:t xml:space="preserve">Subject</w:t>
      </w:r>
    </w:p>
    <w:p>
      <w:pPr>
        <w:pStyle w:val="Compact"/>
        <w:numPr>
          <w:ilvl w:val="0"/>
          <w:numId w:val="1005"/>
        </w:numPr>
      </w:pPr>
      <w:r>
        <w:t xml:space="preserve">Grade</w:t>
      </w:r>
    </w:p>
    <w:p>
      <w:pPr>
        <w:pStyle w:val="Compact"/>
        <w:numPr>
          <w:ilvl w:val="0"/>
          <w:numId w:val="1005"/>
        </w:numPr>
      </w:pPr>
      <w:r>
        <w:t xml:space="preserve">Language</w:t>
      </w:r>
    </w:p>
    <w:p>
      <w:pPr>
        <w:pStyle w:val="Compact"/>
        <w:numPr>
          <w:ilvl w:val="0"/>
          <w:numId w:val="1005"/>
        </w:numPr>
      </w:pPr>
      <w:r>
        <w:t xml:space="preserve">Publisher</w:t>
      </w:r>
    </w:p>
    <w:p>
      <w:r>
        <w:pict>
          <v:rect style="width:0;height:1.5pt" o:hralign="center" o:hrstd="t" o:hr="t"/>
        </w:pict>
      </w:r>
    </w:p>
    <w:bookmarkEnd w:id="44"/>
    <w:bookmarkStart w:id="45" w:name="curriculum"/>
    <w:p>
      <w:pPr>
        <w:pStyle w:val="Heading2"/>
      </w:pPr>
      <w:r>
        <w:t xml:space="preserve">Curriculum</w:t>
      </w:r>
    </w:p>
    <w:p>
      <w:pPr>
        <w:pStyle w:val="Compact"/>
        <w:numPr>
          <w:ilvl w:val="0"/>
          <w:numId w:val="1006"/>
        </w:numPr>
      </w:pPr>
      <w:r>
        <w:t xml:space="preserve">Curriculum version</w:t>
      </w:r>
    </w:p>
    <w:p>
      <w:pPr>
        <w:pStyle w:val="Compact"/>
        <w:numPr>
          <w:ilvl w:val="0"/>
          <w:numId w:val="1006"/>
        </w:numPr>
      </w:pPr>
      <w:r>
        <w:t xml:space="preserve">Approval reference</w:t>
      </w:r>
    </w:p>
    <w:p>
      <w:pPr>
        <w:pStyle w:val="Compact"/>
        <w:numPr>
          <w:ilvl w:val="0"/>
          <w:numId w:val="1006"/>
        </w:numPr>
      </w:pPr>
      <w:r>
        <w:t xml:space="preserve">Effective academic year</w:t>
      </w:r>
    </w:p>
    <w:p>
      <w:pPr>
        <w:pStyle w:val="Compact"/>
        <w:numPr>
          <w:ilvl w:val="0"/>
          <w:numId w:val="1006"/>
        </w:numPr>
      </w:pPr>
      <w:r>
        <w:t xml:space="preserve">Retirement date</w:t>
      </w:r>
    </w:p>
    <w:p>
      <w:r>
        <w:pict>
          <v:rect style="width:0;height:1.5pt" o:hralign="center" o:hrstd="t" o:hr="t"/>
        </w:pict>
      </w:r>
    </w:p>
    <w:bookmarkEnd w:id="45"/>
    <w:bookmarkStart w:id="46" w:name="physical-characteristics"/>
    <w:p>
      <w:pPr>
        <w:pStyle w:val="Heading2"/>
      </w:pPr>
      <w:r>
        <w:t xml:space="preserve">Physical Characteristics</w:t>
      </w:r>
    </w:p>
    <w:p>
      <w:pPr>
        <w:pStyle w:val="Compact"/>
        <w:numPr>
          <w:ilvl w:val="0"/>
          <w:numId w:val="1007"/>
        </w:numPr>
      </w:pPr>
      <w:r>
        <w:t xml:space="preserve">Number of pages</w:t>
      </w:r>
    </w:p>
    <w:p>
      <w:pPr>
        <w:pStyle w:val="Compact"/>
        <w:numPr>
          <w:ilvl w:val="0"/>
          <w:numId w:val="1007"/>
        </w:numPr>
      </w:pPr>
      <w:r>
        <w:t xml:space="preserve">Format</w:t>
      </w:r>
    </w:p>
    <w:p>
      <w:pPr>
        <w:pStyle w:val="Compact"/>
        <w:numPr>
          <w:ilvl w:val="0"/>
          <w:numId w:val="1007"/>
        </w:numPr>
      </w:pPr>
      <w:r>
        <w:t xml:space="preserve">Weight</w:t>
      </w:r>
    </w:p>
    <w:p>
      <w:pPr>
        <w:pStyle w:val="Compact"/>
        <w:numPr>
          <w:ilvl w:val="0"/>
          <w:numId w:val="1007"/>
        </w:numPr>
      </w:pPr>
      <w:r>
        <w:t xml:space="preserve">Binding type</w:t>
      </w:r>
    </w:p>
    <w:p>
      <w:pPr>
        <w:pStyle w:val="Compact"/>
        <w:numPr>
          <w:ilvl w:val="0"/>
          <w:numId w:val="1007"/>
        </w:numPr>
      </w:pPr>
      <w:r>
        <w:t xml:space="preserve">Expected service life</w:t>
      </w:r>
    </w:p>
    <w:p>
      <w:r>
        <w:pict>
          <v:rect style="width:0;height:1.5pt" o:hralign="center" o:hrstd="t" o:hr="t"/>
        </w:pict>
      </w:r>
    </w:p>
    <w:bookmarkEnd w:id="46"/>
    <w:bookmarkStart w:id="47" w:name="operational-information"/>
    <w:p>
      <w:pPr>
        <w:pStyle w:val="Heading2"/>
      </w:pPr>
      <w:r>
        <w:t xml:space="preserve">Operational Information</w:t>
      </w:r>
    </w:p>
    <w:p>
      <w:pPr>
        <w:pStyle w:val="Compact"/>
        <w:numPr>
          <w:ilvl w:val="0"/>
          <w:numId w:val="1008"/>
        </w:numPr>
      </w:pPr>
      <w:r>
        <w:t xml:space="preserve">Procurement history</w:t>
      </w:r>
    </w:p>
    <w:p>
      <w:pPr>
        <w:pStyle w:val="Compact"/>
        <w:numPr>
          <w:ilvl w:val="0"/>
          <w:numId w:val="1008"/>
        </w:numPr>
      </w:pPr>
      <w:r>
        <w:t xml:space="preserve">Distribution history</w:t>
      </w:r>
    </w:p>
    <w:p>
      <w:pPr>
        <w:pStyle w:val="Compact"/>
        <w:numPr>
          <w:ilvl w:val="0"/>
          <w:numId w:val="1008"/>
        </w:numPr>
      </w:pPr>
      <w:r>
        <w:t xml:space="preserve">Inventory locations</w:t>
      </w:r>
    </w:p>
    <w:p>
      <w:pPr>
        <w:pStyle w:val="Compact"/>
        <w:numPr>
          <w:ilvl w:val="0"/>
          <w:numId w:val="1008"/>
        </w:numPr>
      </w:pPr>
      <w:r>
        <w:t xml:space="preserve">Student allocations</w:t>
      </w:r>
    </w:p>
    <w:p>
      <w:pPr>
        <w:pStyle w:val="Compact"/>
        <w:numPr>
          <w:ilvl w:val="0"/>
          <w:numId w:val="1008"/>
        </w:numPr>
      </w:pPr>
      <w:r>
        <w:t xml:space="preserve">Condition history</w:t>
      </w:r>
    </w:p>
    <w:p>
      <w:r>
        <w:pict>
          <v:rect style="width:0;height:1.5pt" o:hralign="center" o:hrstd="t" o:hr="t"/>
        </w:pict>
      </w:r>
    </w:p>
    <w:bookmarkEnd w:id="47"/>
    <w:bookmarkEnd w:id="48"/>
    <w:bookmarkStart w:id="53" w:name="user-roles"/>
    <w:p>
      <w:pPr>
        <w:pStyle w:val="Heading1"/>
      </w:pPr>
      <w:r>
        <w:t xml:space="preserve">19.7 User Roles</w:t>
      </w:r>
    </w:p>
    <w:bookmarkStart w:id="49" w:name="curriculum-officers"/>
    <w:p>
      <w:pPr>
        <w:pStyle w:val="Heading3"/>
      </w:pPr>
      <w:r>
        <w:t xml:space="preserve">Curriculum Officers</w:t>
      </w:r>
    </w:p>
    <w:p>
      <w:pPr>
        <w:pStyle w:val="Compact"/>
        <w:numPr>
          <w:ilvl w:val="0"/>
          <w:numId w:val="1009"/>
        </w:numPr>
      </w:pPr>
      <w:r>
        <w:t xml:space="preserve">Register approved titles.</w:t>
      </w:r>
    </w:p>
    <w:p>
      <w:pPr>
        <w:pStyle w:val="Compact"/>
        <w:numPr>
          <w:ilvl w:val="0"/>
          <w:numId w:val="1009"/>
        </w:numPr>
      </w:pPr>
      <w:r>
        <w:t xml:space="preserve">Manage editions.</w:t>
      </w:r>
    </w:p>
    <w:p>
      <w:pPr>
        <w:pStyle w:val="Compact"/>
        <w:numPr>
          <w:ilvl w:val="0"/>
          <w:numId w:val="1009"/>
        </w:numPr>
      </w:pPr>
      <w:r>
        <w:t xml:space="preserve">Retire obsolete titles.</w:t>
      </w:r>
    </w:p>
    <w:p>
      <w:r>
        <w:pict>
          <v:rect style="width:0;height:1.5pt" o:hralign="center" o:hrstd="t" o:hr="t"/>
        </w:pict>
      </w:r>
    </w:p>
    <w:bookmarkEnd w:id="49"/>
    <w:bookmarkStart w:id="50" w:name="procurement-officers"/>
    <w:p>
      <w:pPr>
        <w:pStyle w:val="Heading3"/>
      </w:pPr>
      <w:r>
        <w:t xml:space="preserve">Procurement Officers</w:t>
      </w:r>
    </w:p>
    <w:p>
      <w:pPr>
        <w:pStyle w:val="Compact"/>
        <w:numPr>
          <w:ilvl w:val="0"/>
          <w:numId w:val="1010"/>
        </w:numPr>
      </w:pPr>
      <w:r>
        <w:t xml:space="preserve">Reference approved textbooks.</w:t>
      </w:r>
    </w:p>
    <w:p>
      <w:pPr>
        <w:pStyle w:val="Compact"/>
        <w:numPr>
          <w:ilvl w:val="0"/>
          <w:numId w:val="1010"/>
        </w:numPr>
      </w:pPr>
      <w:r>
        <w:t xml:space="preserve">Generate procurement requirements.</w:t>
      </w:r>
    </w:p>
    <w:p>
      <w:r>
        <w:pict>
          <v:rect style="width:0;height:1.5pt" o:hralign="center" o:hrstd="t" o:hr="t"/>
        </w:pict>
      </w:r>
    </w:p>
    <w:bookmarkEnd w:id="50"/>
    <w:bookmarkStart w:id="51" w:name="warehouse-officers"/>
    <w:p>
      <w:pPr>
        <w:pStyle w:val="Heading3"/>
      </w:pPr>
      <w:r>
        <w:t xml:space="preserve">Warehouse Officers</w:t>
      </w:r>
    </w:p>
    <w:p>
      <w:pPr>
        <w:pStyle w:val="Compact"/>
        <w:numPr>
          <w:ilvl w:val="0"/>
          <w:numId w:val="1011"/>
        </w:numPr>
      </w:pPr>
      <w:r>
        <w:t xml:space="preserve">Receive and issue textbooks.</w:t>
      </w:r>
    </w:p>
    <w:p>
      <w:pPr>
        <w:pStyle w:val="Compact"/>
        <w:numPr>
          <w:ilvl w:val="0"/>
          <w:numId w:val="1011"/>
        </w:numPr>
      </w:pPr>
      <w:r>
        <w:t xml:space="preserve">Manage stock movements.</w:t>
      </w:r>
    </w:p>
    <w:p>
      <w:r>
        <w:pict>
          <v:rect style="width:0;height:1.5pt" o:hralign="center" o:hrstd="t" o:hr="t"/>
        </w:pict>
      </w:r>
    </w:p>
    <w:bookmarkEnd w:id="51"/>
    <w:bookmarkStart w:id="52" w:name="school-users"/>
    <w:p>
      <w:pPr>
        <w:pStyle w:val="Heading3"/>
      </w:pPr>
      <w:r>
        <w:t xml:space="preserve">School Users</w:t>
      </w:r>
    </w:p>
    <w:p>
      <w:pPr>
        <w:pStyle w:val="Compact"/>
        <w:numPr>
          <w:ilvl w:val="0"/>
          <w:numId w:val="1012"/>
        </w:numPr>
      </w:pPr>
      <w:r>
        <w:t xml:space="preserve">Receive allocations.</w:t>
      </w:r>
    </w:p>
    <w:p>
      <w:pPr>
        <w:pStyle w:val="Compact"/>
        <w:numPr>
          <w:ilvl w:val="0"/>
          <w:numId w:val="1012"/>
        </w:numPr>
      </w:pPr>
      <w:r>
        <w:t xml:space="preserve">Assign textbooks.</w:t>
      </w:r>
    </w:p>
    <w:p>
      <w:pPr>
        <w:pStyle w:val="Compact"/>
        <w:numPr>
          <w:ilvl w:val="0"/>
          <w:numId w:val="1012"/>
        </w:numPr>
      </w:pPr>
      <w:r>
        <w:t xml:space="preserve">Record returns.</w:t>
      </w:r>
    </w:p>
    <w:p>
      <w:pPr>
        <w:pStyle w:val="Compact"/>
        <w:numPr>
          <w:ilvl w:val="0"/>
          <w:numId w:val="1012"/>
        </w:numPr>
      </w:pPr>
      <w:r>
        <w:t xml:space="preserve">Update condition assessments.</w:t>
      </w:r>
    </w:p>
    <w:p>
      <w:r>
        <w:pict>
          <v:rect style="width:0;height:1.5pt" o:hralign="center" o:hrstd="t" o:hr="t"/>
        </w:pict>
      </w:r>
    </w:p>
    <w:bookmarkEnd w:id="52"/>
    <w:bookmarkEnd w:id="53"/>
    <w:bookmarkStart w:id="54" w:name="business-rules"/>
    <w:p>
      <w:pPr>
        <w:pStyle w:val="Heading1"/>
      </w:pPr>
      <w:r>
        <w:t xml:space="preserve">19.8 Business Rules</w:t>
      </w:r>
    </w:p>
    <w:p>
      <w:pPr>
        <w:pStyle w:val="FirstParagraph"/>
      </w:pPr>
      <w:r>
        <w:t xml:space="preserve">Examples include:</w:t>
      </w:r>
    </w:p>
    <w:p>
      <w:pPr>
        <w:pStyle w:val="Compact"/>
        <w:numPr>
          <w:ilvl w:val="0"/>
          <w:numId w:val="1013"/>
        </w:numPr>
      </w:pPr>
      <w:r>
        <w:t xml:space="preserve">Only approved textbooks may be procured through the platform.</w:t>
      </w:r>
    </w:p>
    <w:p>
      <w:pPr>
        <w:pStyle w:val="Compact"/>
        <w:numPr>
          <w:ilvl w:val="0"/>
          <w:numId w:val="1013"/>
        </w:numPr>
      </w:pPr>
      <w:r>
        <w:t xml:space="preserve">Retired editions cannot be included in future allocation plans.</w:t>
      </w:r>
    </w:p>
    <w:p>
      <w:pPr>
        <w:pStyle w:val="Compact"/>
        <w:numPr>
          <w:ilvl w:val="0"/>
          <w:numId w:val="1013"/>
        </w:numPr>
      </w:pPr>
      <w:r>
        <w:t xml:space="preserve">Every issued textbook must reference an approved textbook record.</w:t>
      </w:r>
    </w:p>
    <w:p>
      <w:pPr>
        <w:pStyle w:val="Compact"/>
        <w:numPr>
          <w:ilvl w:val="0"/>
          <w:numId w:val="1013"/>
        </w:numPr>
      </w:pPr>
      <w:r>
        <w:t xml:space="preserve">Condition changes shall be recorded with timestamps and responsible users.</w:t>
      </w:r>
    </w:p>
    <w:p>
      <w:r>
        <w:pict>
          <v:rect style="width:0;height:1.5pt" o:hralign="center" o:hrstd="t" o:hr="t"/>
        </w:pict>
      </w:r>
    </w:p>
    <w:bookmarkEnd w:id="54"/>
    <w:bookmarkStart w:id="55" w:name="reports"/>
    <w:p>
      <w:pPr>
        <w:pStyle w:val="Heading1"/>
      </w:pPr>
      <w:r>
        <w:t xml:space="preserve">19.9 Reports</w:t>
      </w:r>
    </w:p>
    <w:p>
      <w:pPr>
        <w:pStyle w:val="FirstParagraph"/>
      </w:pPr>
      <w:r>
        <w:t xml:space="preserve">Illustrative reports include:</w:t>
      </w:r>
    </w:p>
    <w:p>
      <w:pPr>
        <w:pStyle w:val="Compact"/>
        <w:numPr>
          <w:ilvl w:val="0"/>
          <w:numId w:val="1014"/>
        </w:numPr>
      </w:pPr>
      <w:r>
        <w:t xml:space="preserve">Approved textbook catalogue.</w:t>
      </w:r>
    </w:p>
    <w:p>
      <w:pPr>
        <w:pStyle w:val="Compact"/>
        <w:numPr>
          <w:ilvl w:val="0"/>
          <w:numId w:val="1014"/>
        </w:numPr>
      </w:pPr>
      <w:r>
        <w:t xml:space="preserve">Textbooks by subject.</w:t>
      </w:r>
    </w:p>
    <w:p>
      <w:pPr>
        <w:pStyle w:val="Compact"/>
        <w:numPr>
          <w:ilvl w:val="0"/>
          <w:numId w:val="1014"/>
        </w:numPr>
      </w:pPr>
      <w:r>
        <w:t xml:space="preserve">Textbooks by grade.</w:t>
      </w:r>
    </w:p>
    <w:p>
      <w:pPr>
        <w:pStyle w:val="Compact"/>
        <w:numPr>
          <w:ilvl w:val="0"/>
          <w:numId w:val="1014"/>
        </w:numPr>
      </w:pPr>
      <w:r>
        <w:t xml:space="preserve">Edition history.</w:t>
      </w:r>
    </w:p>
    <w:p>
      <w:pPr>
        <w:pStyle w:val="Compact"/>
        <w:numPr>
          <w:ilvl w:val="0"/>
          <w:numId w:val="1014"/>
        </w:numPr>
      </w:pPr>
      <w:r>
        <w:t xml:space="preserve">Distribution summary.</w:t>
      </w:r>
    </w:p>
    <w:p>
      <w:pPr>
        <w:pStyle w:val="Compact"/>
        <w:numPr>
          <w:ilvl w:val="0"/>
          <w:numId w:val="1014"/>
        </w:numPr>
      </w:pPr>
      <w:r>
        <w:t xml:space="preserve">Lifecycle status.</w:t>
      </w:r>
    </w:p>
    <w:p>
      <w:pPr>
        <w:pStyle w:val="Compact"/>
        <w:numPr>
          <w:ilvl w:val="0"/>
          <w:numId w:val="1014"/>
        </w:numPr>
      </w:pPr>
      <w:r>
        <w:t xml:space="preserve">Replacement forecast.</w:t>
      </w:r>
    </w:p>
    <w:p>
      <w:pPr>
        <w:pStyle w:val="Compact"/>
        <w:numPr>
          <w:ilvl w:val="0"/>
          <w:numId w:val="1014"/>
        </w:numPr>
      </w:pPr>
      <w:r>
        <w:t xml:space="preserve">Condition analysis.</w:t>
      </w:r>
    </w:p>
    <w:p>
      <w:r>
        <w:pict>
          <v:rect style="width:0;height:1.5pt" o:hralign="center" o:hrstd="t" o:hr="t"/>
        </w:pict>
      </w:r>
    </w:p>
    <w:bookmarkEnd w:id="55"/>
    <w:bookmarkStart w:id="58" w:name="dashboards"/>
    <w:p>
      <w:pPr>
        <w:pStyle w:val="Heading1"/>
      </w:pPr>
      <w:r>
        <w:t xml:space="preserve">19.10 Dashboards</w:t>
      </w:r>
    </w:p>
    <w:bookmarkStart w:id="56" w:name="national-dashboard"/>
    <w:p>
      <w:pPr>
        <w:pStyle w:val="Heading3"/>
      </w:pPr>
      <w:r>
        <w:t xml:space="preserve">National Dashboard</w:t>
      </w:r>
    </w:p>
    <w:p>
      <w:pPr>
        <w:pStyle w:val="Compact"/>
        <w:numPr>
          <w:ilvl w:val="0"/>
          <w:numId w:val="1015"/>
        </w:numPr>
      </w:pPr>
      <w:r>
        <w:t xml:space="preserve">Approved titles.</w:t>
      </w:r>
    </w:p>
    <w:p>
      <w:pPr>
        <w:pStyle w:val="Compact"/>
        <w:numPr>
          <w:ilvl w:val="0"/>
          <w:numId w:val="1015"/>
        </w:numPr>
      </w:pPr>
      <w:r>
        <w:t xml:space="preserve">Distribution coverage.</w:t>
      </w:r>
    </w:p>
    <w:p>
      <w:pPr>
        <w:pStyle w:val="Compact"/>
        <w:numPr>
          <w:ilvl w:val="0"/>
          <w:numId w:val="1015"/>
        </w:numPr>
      </w:pPr>
      <w:r>
        <w:t xml:space="preserve">Inventory by subject.</w:t>
      </w:r>
    </w:p>
    <w:p>
      <w:pPr>
        <w:pStyle w:val="Compact"/>
        <w:numPr>
          <w:ilvl w:val="0"/>
          <w:numId w:val="1015"/>
        </w:numPr>
      </w:pPr>
      <w:r>
        <w:t xml:space="preserve">Replacement forecasts.</w:t>
      </w:r>
    </w:p>
    <w:p>
      <w:pPr>
        <w:pStyle w:val="Compact"/>
        <w:numPr>
          <w:ilvl w:val="0"/>
          <w:numId w:val="1015"/>
        </w:numPr>
      </w:pPr>
      <w:r>
        <w:t xml:space="preserve">Edition transitions.</w:t>
      </w:r>
    </w:p>
    <w:bookmarkEnd w:id="56"/>
    <w:bookmarkStart w:id="57" w:name="school-dashboard"/>
    <w:p>
      <w:pPr>
        <w:pStyle w:val="Heading3"/>
      </w:pPr>
      <w:r>
        <w:t xml:space="preserve">School Dashboard</w:t>
      </w:r>
    </w:p>
    <w:p>
      <w:pPr>
        <w:pStyle w:val="Compact"/>
        <w:numPr>
          <w:ilvl w:val="0"/>
          <w:numId w:val="1016"/>
        </w:numPr>
      </w:pPr>
      <w:r>
        <w:t xml:space="preserve">Available textbooks.</w:t>
      </w:r>
    </w:p>
    <w:p>
      <w:pPr>
        <w:pStyle w:val="Compact"/>
        <w:numPr>
          <w:ilvl w:val="0"/>
          <w:numId w:val="1016"/>
        </w:numPr>
      </w:pPr>
      <w:r>
        <w:t xml:space="preserve">Books issued.</w:t>
      </w:r>
    </w:p>
    <w:p>
      <w:pPr>
        <w:pStyle w:val="Compact"/>
        <w:numPr>
          <w:ilvl w:val="0"/>
          <w:numId w:val="1016"/>
        </w:numPr>
      </w:pPr>
      <w:r>
        <w:t xml:space="preserve">Outstanding returns.</w:t>
      </w:r>
    </w:p>
    <w:p>
      <w:pPr>
        <w:pStyle w:val="Compact"/>
        <w:numPr>
          <w:ilvl w:val="0"/>
          <w:numId w:val="1016"/>
        </w:numPr>
      </w:pPr>
      <w:r>
        <w:t xml:space="preserve">Damaged books.</w:t>
      </w:r>
    </w:p>
    <w:p>
      <w:pPr>
        <w:pStyle w:val="Compact"/>
        <w:numPr>
          <w:ilvl w:val="0"/>
          <w:numId w:val="1016"/>
        </w:numPr>
      </w:pPr>
      <w:r>
        <w:t xml:space="preserve">Student coverage.</w:t>
      </w:r>
    </w:p>
    <w:p>
      <w:r>
        <w:pict>
          <v:rect style="width:0;height:1.5pt" o:hralign="center" o:hrstd="t" o:hr="t"/>
        </w:pict>
      </w:r>
    </w:p>
    <w:bookmarkEnd w:id="57"/>
    <w:bookmarkEnd w:id="58"/>
    <w:bookmarkStart w:id="59" w:name="notifications"/>
    <w:p>
      <w:pPr>
        <w:pStyle w:val="Heading1"/>
      </w:pPr>
      <w:r>
        <w:t xml:space="preserve">19.11 Notifications</w:t>
      </w:r>
    </w:p>
    <w:p>
      <w:pPr>
        <w:pStyle w:val="FirstParagraph"/>
      </w:pPr>
      <w:r>
        <w:t xml:space="preserve">Authorized users may receive alerts for:</w:t>
      </w:r>
    </w:p>
    <w:p>
      <w:pPr>
        <w:pStyle w:val="Compact"/>
        <w:numPr>
          <w:ilvl w:val="0"/>
          <w:numId w:val="1017"/>
        </w:numPr>
      </w:pPr>
      <w:r>
        <w:t xml:space="preserve">Newly approved textbooks.</w:t>
      </w:r>
    </w:p>
    <w:p>
      <w:pPr>
        <w:pStyle w:val="Compact"/>
        <w:numPr>
          <w:ilvl w:val="0"/>
          <w:numId w:val="1017"/>
        </w:numPr>
      </w:pPr>
      <w:r>
        <w:t xml:space="preserve">Edition retirement.</w:t>
      </w:r>
    </w:p>
    <w:p>
      <w:pPr>
        <w:pStyle w:val="Compact"/>
        <w:numPr>
          <w:ilvl w:val="0"/>
          <w:numId w:val="1017"/>
        </w:numPr>
      </w:pPr>
      <w:r>
        <w:t xml:space="preserve">Low inventory.</w:t>
      </w:r>
    </w:p>
    <w:p>
      <w:pPr>
        <w:pStyle w:val="Compact"/>
        <w:numPr>
          <w:ilvl w:val="0"/>
          <w:numId w:val="1017"/>
        </w:numPr>
      </w:pPr>
      <w:r>
        <w:t xml:space="preserve">Replacement priorities.</w:t>
      </w:r>
    </w:p>
    <w:p>
      <w:pPr>
        <w:pStyle w:val="Compact"/>
        <w:numPr>
          <w:ilvl w:val="0"/>
          <w:numId w:val="1017"/>
        </w:numPr>
      </w:pPr>
      <w:r>
        <w:t xml:space="preserve">Outstanding returns.</w:t>
      </w:r>
    </w:p>
    <w:p>
      <w:r>
        <w:pict>
          <v:rect style="width:0;height:1.5pt" o:hralign="center" o:hrstd="t" o:hr="t"/>
        </w:pict>
      </w:r>
    </w:p>
    <w:bookmarkEnd w:id="59"/>
    <w:bookmarkStart w:id="60" w:name="offline-operation"/>
    <w:p>
      <w:pPr>
        <w:pStyle w:val="Heading1"/>
      </w:pPr>
      <w:r>
        <w:t xml:space="preserve">19.12 Offline Operation</w:t>
      </w:r>
    </w:p>
    <w:p>
      <w:pPr>
        <w:pStyle w:val="FirstParagraph"/>
      </w:pPr>
      <w:r>
        <w:t xml:space="preserve">Schools can:</w:t>
      </w:r>
    </w:p>
    <w:p>
      <w:pPr>
        <w:pStyle w:val="Compact"/>
        <w:numPr>
          <w:ilvl w:val="0"/>
          <w:numId w:val="1018"/>
        </w:numPr>
      </w:pPr>
      <w:r>
        <w:t xml:space="preserve">Scan textbooks.</w:t>
      </w:r>
    </w:p>
    <w:p>
      <w:pPr>
        <w:pStyle w:val="Compact"/>
        <w:numPr>
          <w:ilvl w:val="0"/>
          <w:numId w:val="1018"/>
        </w:numPr>
      </w:pPr>
      <w:r>
        <w:t xml:space="preserve">Assign books.</w:t>
      </w:r>
    </w:p>
    <w:p>
      <w:pPr>
        <w:pStyle w:val="Compact"/>
        <w:numPr>
          <w:ilvl w:val="0"/>
          <w:numId w:val="1018"/>
        </w:numPr>
      </w:pPr>
      <w:r>
        <w:t xml:space="preserve">Record returns.</w:t>
      </w:r>
    </w:p>
    <w:p>
      <w:pPr>
        <w:pStyle w:val="Compact"/>
        <w:numPr>
          <w:ilvl w:val="0"/>
          <w:numId w:val="1018"/>
        </w:numPr>
      </w:pPr>
      <w:r>
        <w:t xml:space="preserve">Assess condition.</w:t>
      </w:r>
    </w:p>
    <w:p>
      <w:pPr>
        <w:pStyle w:val="Compact"/>
        <w:numPr>
          <w:ilvl w:val="0"/>
          <w:numId w:val="1018"/>
        </w:numPr>
      </w:pPr>
      <w:r>
        <w:t xml:space="preserve">Update inventory.</w:t>
      </w:r>
    </w:p>
    <w:p>
      <w:pPr>
        <w:pStyle w:val="FirstParagraph"/>
      </w:pPr>
      <w:r>
        <w:t xml:space="preserve">All transactions are stored locally and synchronized securely when connectivity is restored.</w:t>
      </w:r>
    </w:p>
    <w:p>
      <w:r>
        <w:pict>
          <v:rect style="width:0;height:1.5pt" o:hralign="center" o:hrstd="t" o:hr="t"/>
        </w:pict>
      </w:r>
    </w:p>
    <w:bookmarkEnd w:id="60"/>
    <w:bookmarkStart w:id="61" w:name="integration-points"/>
    <w:p>
      <w:pPr>
        <w:pStyle w:val="Heading1"/>
      </w:pPr>
      <w:r>
        <w:t xml:space="preserve">19.13 Integration Points</w:t>
      </w:r>
    </w:p>
    <w:p>
      <w:pPr>
        <w:pStyle w:val="FirstParagraph"/>
      </w:pPr>
      <w:r>
        <w:t xml:space="preserve">The National Textbook Registry integrates with:</w:t>
      </w:r>
    </w:p>
    <w:p>
      <w:pPr>
        <w:pStyle w:val="Compact"/>
        <w:numPr>
          <w:ilvl w:val="0"/>
          <w:numId w:val="1019"/>
        </w:numPr>
      </w:pPr>
      <w:r>
        <w:t xml:space="preserve">Curriculum Management.</w:t>
      </w:r>
    </w:p>
    <w:p>
      <w:pPr>
        <w:pStyle w:val="Compact"/>
        <w:numPr>
          <w:ilvl w:val="0"/>
          <w:numId w:val="1019"/>
        </w:numPr>
      </w:pPr>
      <w:r>
        <w:t xml:space="preserve">Procurement.</w:t>
      </w:r>
    </w:p>
    <w:p>
      <w:pPr>
        <w:pStyle w:val="Compact"/>
        <w:numPr>
          <w:ilvl w:val="0"/>
          <w:numId w:val="1019"/>
        </w:numPr>
      </w:pPr>
      <w:r>
        <w:t xml:space="preserve">Warehousing.</w:t>
      </w:r>
    </w:p>
    <w:p>
      <w:pPr>
        <w:pStyle w:val="Compact"/>
        <w:numPr>
          <w:ilvl w:val="0"/>
          <w:numId w:val="1019"/>
        </w:numPr>
      </w:pPr>
      <w:r>
        <w:t xml:space="preserve">Distribution.</w:t>
      </w:r>
    </w:p>
    <w:p>
      <w:pPr>
        <w:pStyle w:val="Compact"/>
        <w:numPr>
          <w:ilvl w:val="0"/>
          <w:numId w:val="1019"/>
        </w:numPr>
      </w:pPr>
      <w:r>
        <w:t xml:space="preserve">School Inventory.</w:t>
      </w:r>
    </w:p>
    <w:p>
      <w:pPr>
        <w:pStyle w:val="Compact"/>
        <w:numPr>
          <w:ilvl w:val="0"/>
          <w:numId w:val="1019"/>
        </w:numPr>
      </w:pPr>
      <w:r>
        <w:t xml:space="preserve">Student Registry.</w:t>
      </w:r>
    </w:p>
    <w:p>
      <w:pPr>
        <w:pStyle w:val="Compact"/>
        <w:numPr>
          <w:ilvl w:val="0"/>
          <w:numId w:val="1019"/>
        </w:numPr>
      </w:pPr>
      <w:r>
        <w:t xml:space="preserve">Inspection.</w:t>
      </w:r>
    </w:p>
    <w:p>
      <w:pPr>
        <w:pStyle w:val="Compact"/>
        <w:numPr>
          <w:ilvl w:val="0"/>
          <w:numId w:val="1019"/>
        </w:numPr>
      </w:pPr>
      <w:r>
        <w:t xml:space="preserve">Analytics.</w:t>
      </w:r>
    </w:p>
    <w:p>
      <w:pPr>
        <w:pStyle w:val="Compact"/>
        <w:numPr>
          <w:ilvl w:val="0"/>
          <w:numId w:val="1019"/>
        </w:numPr>
      </w:pPr>
      <w:r>
        <w:t xml:space="preserve">National Reporting.</w:t>
      </w:r>
    </w:p>
    <w:p>
      <w:r>
        <w:pict>
          <v:rect style="width:0;height:1.5pt" o:hralign="center" o:hrstd="t" o:hr="t"/>
        </w:pict>
      </w:r>
    </w:p>
    <w:bookmarkEnd w:id="61"/>
    <w:bookmarkStart w:id="62" w:name="success-indicators"/>
    <w:p>
      <w:pPr>
        <w:pStyle w:val="Heading1"/>
      </w:pPr>
      <w:r>
        <w:t xml:space="preserve">19.14 Success Indicators</w:t>
      </w:r>
    </w:p>
    <w:p>
      <w:pPr>
        <w:pStyle w:val="FirstParagraph"/>
      </w:pPr>
      <w:r>
        <w:t xml:space="preserve">Examples include:</w:t>
      </w:r>
    </w:p>
    <w:p>
      <w:pPr>
        <w:pStyle w:val="Compact"/>
        <w:numPr>
          <w:ilvl w:val="0"/>
          <w:numId w:val="1020"/>
        </w:numPr>
      </w:pPr>
      <w:r>
        <w:t xml:space="preserve">Percentage of approved textbooks registered.</w:t>
      </w:r>
    </w:p>
    <w:p>
      <w:pPr>
        <w:pStyle w:val="Compact"/>
        <w:numPr>
          <w:ilvl w:val="0"/>
          <w:numId w:val="1020"/>
        </w:numPr>
      </w:pPr>
      <w:r>
        <w:t xml:space="preserve">Percentage of distributed textbooks tracked digitally.</w:t>
      </w:r>
    </w:p>
    <w:p>
      <w:pPr>
        <w:pStyle w:val="Compact"/>
        <w:numPr>
          <w:ilvl w:val="0"/>
          <w:numId w:val="1020"/>
        </w:numPr>
      </w:pPr>
      <w:r>
        <w:t xml:space="preserve">Inventory accuracy.</w:t>
      </w:r>
    </w:p>
    <w:p>
      <w:pPr>
        <w:pStyle w:val="Compact"/>
        <w:numPr>
          <w:ilvl w:val="0"/>
          <w:numId w:val="1020"/>
        </w:numPr>
      </w:pPr>
      <w:r>
        <w:t xml:space="preserve">Condition assessment completion rate.</w:t>
      </w:r>
    </w:p>
    <w:p>
      <w:pPr>
        <w:pStyle w:val="Compact"/>
        <w:numPr>
          <w:ilvl w:val="0"/>
          <w:numId w:val="1020"/>
        </w:numPr>
      </w:pPr>
      <w:r>
        <w:t xml:space="preserve">Replacement forecast accuracy.</w:t>
      </w:r>
    </w:p>
    <w:p>
      <w:pPr>
        <w:pStyle w:val="Compact"/>
        <w:numPr>
          <w:ilvl w:val="0"/>
          <w:numId w:val="1020"/>
        </w:numPr>
      </w:pPr>
      <w:r>
        <w:t xml:space="preserve">Outstanding textbook return rate.</w:t>
      </w:r>
    </w:p>
    <w:p>
      <w:pPr>
        <w:pStyle w:val="Compact"/>
        <w:numPr>
          <w:ilvl w:val="0"/>
          <w:numId w:val="1020"/>
        </w:numPr>
      </w:pPr>
      <w:r>
        <w:t xml:space="preserve">Edition compliance rate.</w:t>
      </w:r>
    </w:p>
    <w:p>
      <w:r>
        <w:pict>
          <v:rect style="width:0;height:1.5pt" o:hralign="center" o:hrstd="t" o:hr="t"/>
        </w:pict>
      </w:r>
    </w:p>
    <w:bookmarkEnd w:id="62"/>
    <w:bookmarkStart w:id="63" w:name="conclusion"/>
    <w:p>
      <w:pPr>
        <w:pStyle w:val="Heading1"/>
      </w:pPr>
      <w:r>
        <w:t xml:space="preserve">19.15 Conclusion</w:t>
      </w:r>
    </w:p>
    <w:p>
      <w:pPr>
        <w:pStyle w:val="FirstParagraph"/>
      </w:pPr>
      <w:r>
        <w:t xml:space="preserve">The National Textbook Registry transforms textbooks from static inventory items into managed educational assets with complete digital lifecycles.</w:t>
      </w:r>
    </w:p>
    <w:p>
      <w:pPr>
        <w:pStyle w:val="BodyText"/>
      </w:pPr>
      <w:r>
        <w:t xml:space="preserve">By combining standardized metadata, lifecycle tracking, curriculum alignment, and operational analytics, the registry strengthens planning, procurement, distribution, accountability, and long-term stewardship of one of the Ministry’s most important educational investments.</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2026-07-10T13:10:56Z</dcterms:created>
  <dcterms:modified xsi:type="dcterms:W3CDTF">2026-07-10T13:10:56Z</dcterms:modified>
</cp:coreProperties>
</file>

<file path=docProps/custom.xml><?xml version="1.0" encoding="utf-8"?>
<Properties xmlns="http://schemas.openxmlformats.org/officeDocument/2006/custom-properties" xmlns:vt="http://schemas.openxmlformats.org/officeDocument/2006/docPropsVTypes"/>
</file>