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0"/>
    <w:p>
      <w:pPr>
        <w:pStyle w:val="Heading1"/>
      </w:pPr>
      <w:r>
        <w:t xml:space="preserve">CHAPTER 20</w:t>
      </w:r>
    </w:p>
    <w:bookmarkEnd w:id="20"/>
    <w:bookmarkStart w:id="22" w:name="Xc708e2a6c91b7f1c0550bb39e2ffd5ff0d32d0f"/>
    <w:p>
      <w:pPr>
        <w:pStyle w:val="Heading1"/>
      </w:pPr>
      <w:r>
        <w:t xml:space="preserve">MODULE 4 — PROCUREMENT, CONTRACT AND SUPPLIER MANAGEMENT</w:t>
      </w:r>
    </w:p>
    <w:bookmarkStart w:id="21" w:name="overview"/>
    <w:p>
      <w:pPr>
        <w:pStyle w:val="Heading2"/>
      </w:pPr>
      <w:r>
        <w:t xml:space="preserve">20.1 Overview</w:t>
      </w:r>
    </w:p>
    <w:p>
      <w:pPr>
        <w:pStyle w:val="FirstParagraph"/>
      </w:pPr>
      <w:r>
        <w:t xml:space="preserve">The Procurement, Contract and Supplier Management Module provides an integrated environment for planning, monitoring, and managing the acquisition of textbooks and other educational resources.</w:t>
      </w:r>
    </w:p>
    <w:p>
      <w:pPr>
        <w:pStyle w:val="BodyText"/>
      </w:pPr>
      <w:r>
        <w:t xml:space="preserve">The module supports the complete procurement lifecycle from approved demand forecasts through contract execution, production monitoring, delivery verification, supplier performance assessment, and contract close-out.</w:t>
      </w:r>
    </w:p>
    <w:p>
      <w:pPr>
        <w:pStyle w:val="BodyText"/>
      </w:pPr>
      <w:r>
        <w:t xml:space="preserve">It is designed to improve transparency, planning, accountability, and operational visibility while supporting the Ministry’s established procurement governance framework.</w:t>
      </w:r>
    </w:p>
    <w:p>
      <w:r>
        <w:pict>
          <v:rect style="width:0;height:1.5pt" o:hralign="center" o:hrstd="t" o:hr="t"/>
        </w:pict>
      </w:r>
    </w:p>
    <w:bookmarkEnd w:id="21"/>
    <w:bookmarkEnd w:id="22"/>
    <w:bookmarkStart w:id="23" w:name="objectives"/>
    <w:p>
      <w:pPr>
        <w:pStyle w:val="Heading1"/>
      </w:pPr>
      <w:r>
        <w:t xml:space="preserve">20.2 Objectives</w:t>
      </w:r>
    </w:p>
    <w:p>
      <w:pPr>
        <w:pStyle w:val="FirstParagraph"/>
      </w:pPr>
      <w:r>
        <w:t xml:space="preserve">The module seeks to:</w:t>
      </w:r>
    </w:p>
    <w:p>
      <w:pPr>
        <w:pStyle w:val="Compact"/>
        <w:numPr>
          <w:ilvl w:val="0"/>
          <w:numId w:val="1001"/>
        </w:numPr>
      </w:pPr>
      <w:r>
        <w:t xml:space="preserve">Improve procurement planning.</w:t>
      </w:r>
    </w:p>
    <w:p>
      <w:pPr>
        <w:pStyle w:val="Compact"/>
        <w:numPr>
          <w:ilvl w:val="0"/>
          <w:numId w:val="1001"/>
        </w:numPr>
      </w:pPr>
      <w:r>
        <w:t xml:space="preserve">Support evidence-based purchasing.</w:t>
      </w:r>
    </w:p>
    <w:p>
      <w:pPr>
        <w:pStyle w:val="Compact"/>
        <w:numPr>
          <w:ilvl w:val="0"/>
          <w:numId w:val="1001"/>
        </w:numPr>
      </w:pPr>
      <w:r>
        <w:t xml:space="preserve">Strengthen supplier management.</w:t>
      </w:r>
    </w:p>
    <w:p>
      <w:pPr>
        <w:pStyle w:val="Compact"/>
        <w:numPr>
          <w:ilvl w:val="0"/>
          <w:numId w:val="1001"/>
        </w:numPr>
      </w:pPr>
      <w:r>
        <w:t xml:space="preserve">Improve contract monitoring.</w:t>
      </w:r>
    </w:p>
    <w:p>
      <w:pPr>
        <w:pStyle w:val="Compact"/>
        <w:numPr>
          <w:ilvl w:val="0"/>
          <w:numId w:val="1001"/>
        </w:numPr>
      </w:pPr>
      <w:r>
        <w:t xml:space="preserve">Reduce procurement delays.</w:t>
      </w:r>
    </w:p>
    <w:p>
      <w:pPr>
        <w:pStyle w:val="Compact"/>
        <w:numPr>
          <w:ilvl w:val="0"/>
          <w:numId w:val="1001"/>
        </w:numPr>
      </w:pPr>
      <w:r>
        <w:t xml:space="preserve">Improve delivery performance.</w:t>
      </w:r>
    </w:p>
    <w:p>
      <w:pPr>
        <w:pStyle w:val="Compact"/>
        <w:numPr>
          <w:ilvl w:val="0"/>
          <w:numId w:val="1001"/>
        </w:numPr>
      </w:pPr>
      <w:r>
        <w:t xml:space="preserve">Support financial accountability.</w:t>
      </w:r>
    </w:p>
    <w:p>
      <w:pPr>
        <w:pStyle w:val="Compact"/>
        <w:numPr>
          <w:ilvl w:val="0"/>
          <w:numId w:val="1001"/>
        </w:numPr>
      </w:pPr>
      <w:r>
        <w:t xml:space="preserve">Strengthen audit readiness.</w:t>
      </w:r>
    </w:p>
    <w:p>
      <w:r>
        <w:pict>
          <v:rect style="width:0;height:1.5pt" o:hralign="center" o:hrstd="t" o:hr="t"/>
        </w:pict>
      </w:r>
    </w:p>
    <w:bookmarkEnd w:id="23"/>
    <w:bookmarkStart w:id="24" w:name="procurement-lifecycle"/>
    <w:p>
      <w:pPr>
        <w:pStyle w:val="Heading1"/>
      </w:pPr>
      <w:r>
        <w:t xml:space="preserve">20.3 Procurement Lifecycle</w:t>
      </w:r>
    </w:p>
    <w:p>
      <w:pPr>
        <w:pStyle w:val="FirstParagraph"/>
      </w:pPr>
      <w:r>
        <w:rPr>
          <w:rStyle w:val="VerbatimChar"/>
        </w:rPr>
        <w:t xml:space="preserve">text id="proc001" Demand Forecast         │         ▼ Budget Approval         │         ▼ Procurement Planning         │         ▼ Tender / Acquisition Process         │         ▼ Contract Award         │         ▼ Printing / Production         │         ▼ Quality Inspection         │         ▼ Warehouse Delivery         │         ▼ Contract Completion         │         ▼ Supplier Evaluation</w:t>
      </w:r>
    </w:p>
    <w:p>
      <w:r>
        <w:pict>
          <v:rect style="width:0;height:1.5pt" o:hralign="center" o:hrstd="t" o:hr="t"/>
        </w:pict>
      </w:r>
    </w:p>
    <w:bookmarkEnd w:id="24"/>
    <w:bookmarkStart w:id="45" w:name="operational-challenges"/>
    <w:p>
      <w:pPr>
        <w:pStyle w:val="Heading1"/>
      </w:pPr>
      <w:r>
        <w:t xml:space="preserve">20.4 Operational Challenges</w:t>
      </w:r>
    </w:p>
    <w:bookmarkStart w:id="26" w:name="problem-106"/>
    <w:p>
      <w:pPr>
        <w:pStyle w:val="Heading2"/>
      </w:pPr>
      <w:r>
        <w:t xml:space="preserve">Problem 106</w:t>
      </w:r>
    </w:p>
    <w:bookmarkStart w:id="25" w:name="procurement-plans-are-prepared-manually"/>
    <w:p>
      <w:pPr>
        <w:pStyle w:val="Heading3"/>
      </w:pPr>
      <w:r>
        <w:t xml:space="preserve">Procurement Plans Are Prepared Manually</w:t>
      </w:r>
    </w:p>
    <w:p>
      <w:pPr>
        <w:pStyle w:val="FirstParagraph"/>
      </w:pPr>
      <w:r>
        <w:t xml:space="preserve">Multiple spreadsheets and documents are often used.</w:t>
      </w:r>
    </w:p>
    <w:p>
      <w:pPr>
        <w:pStyle w:val="BodyText"/>
      </w:pPr>
      <w:r>
        <w:rPr>
          <w:b/>
          <w:bCs/>
        </w:rPr>
        <w:t xml:space="preserve">Solution</w:t>
      </w:r>
    </w:p>
    <w:p>
      <w:pPr>
        <w:pStyle w:val="BodyText"/>
      </w:pPr>
      <w:r>
        <w:t xml:space="preserve">Integrated procurement planning linked directly to approved textbook forecasts.</w:t>
      </w:r>
    </w:p>
    <w:p>
      <w:r>
        <w:pict>
          <v:rect style="width:0;height:1.5pt" o:hralign="center" o:hrstd="t" o:hr="t"/>
        </w:pict>
      </w:r>
    </w:p>
    <w:bookmarkEnd w:id="25"/>
    <w:bookmarkEnd w:id="26"/>
    <w:bookmarkStart w:id="28" w:name="problem-107"/>
    <w:p>
      <w:pPr>
        <w:pStyle w:val="Heading2"/>
      </w:pPr>
      <w:r>
        <w:t xml:space="preserve">Problem 107</w:t>
      </w:r>
    </w:p>
    <w:bookmarkStart w:id="27" w:name="X9515d45a54320e518fdd007b883ab35611ccaef"/>
    <w:p>
      <w:pPr>
        <w:pStyle w:val="Heading3"/>
      </w:pPr>
      <w:r>
        <w:t xml:space="preserve">Limited Visibility into Procurement Progress</w:t>
      </w:r>
    </w:p>
    <w:p>
      <w:pPr>
        <w:pStyle w:val="FirstParagraph"/>
      </w:pPr>
      <w:r>
        <w:t xml:space="preserve">Senior officials may not know the real-time status of procurement packages.</w:t>
      </w:r>
    </w:p>
    <w:p>
      <w:pPr>
        <w:pStyle w:val="BodyText"/>
      </w:pPr>
      <w:r>
        <w:rPr>
          <w:b/>
          <w:bCs/>
        </w:rPr>
        <w:t xml:space="preserve">Solution</w:t>
      </w:r>
    </w:p>
    <w:p>
      <w:pPr>
        <w:pStyle w:val="BodyText"/>
      </w:pPr>
      <w:r>
        <w:t xml:space="preserve">National Procurement Dashboard with milestone tracking and status indicators.</w:t>
      </w:r>
    </w:p>
    <w:p>
      <w:r>
        <w:pict>
          <v:rect style="width:0;height:1.5pt" o:hralign="center" o:hrstd="t" o:hr="t"/>
        </w:pict>
      </w:r>
    </w:p>
    <w:bookmarkEnd w:id="27"/>
    <w:bookmarkEnd w:id="28"/>
    <w:bookmarkStart w:id="30" w:name="problem-108"/>
    <w:p>
      <w:pPr>
        <w:pStyle w:val="Heading2"/>
      </w:pPr>
      <w:r>
        <w:t xml:space="preserve">Problem 108</w:t>
      </w:r>
    </w:p>
    <w:bookmarkStart w:id="29" w:name="weak-contract-monitoring"/>
    <w:p>
      <w:pPr>
        <w:pStyle w:val="Heading3"/>
      </w:pPr>
      <w:r>
        <w:t xml:space="preserve">Weak Contract Monitoring</w:t>
      </w:r>
    </w:p>
    <w:p>
      <w:pPr>
        <w:pStyle w:val="FirstParagraph"/>
      </w:pPr>
      <w:r>
        <w:t xml:space="preserve">Monitoring contract milestones manually can be difficult.</w:t>
      </w:r>
    </w:p>
    <w:p>
      <w:pPr>
        <w:pStyle w:val="BodyText"/>
      </w:pPr>
      <w:r>
        <w:rPr>
          <w:b/>
          <w:bCs/>
        </w:rPr>
        <w:t xml:space="preserve">Solution</w:t>
      </w:r>
    </w:p>
    <w:p>
      <w:pPr>
        <w:pStyle w:val="BodyText"/>
      </w:pPr>
      <w:r>
        <w:t xml:space="preserve">Digital contract management with milestone schedules, deliverables, alerts, and progress monitoring.</w:t>
      </w:r>
    </w:p>
    <w:p>
      <w:r>
        <w:pict>
          <v:rect style="width:0;height:1.5pt" o:hralign="center" o:hrstd="t" o:hr="t"/>
        </w:pict>
      </w:r>
    </w:p>
    <w:bookmarkEnd w:id="29"/>
    <w:bookmarkEnd w:id="30"/>
    <w:bookmarkStart w:id="32" w:name="problem-109"/>
    <w:p>
      <w:pPr>
        <w:pStyle w:val="Heading2"/>
      </w:pPr>
      <w:r>
        <w:t xml:space="preserve">Problem 109</w:t>
      </w:r>
    </w:p>
    <w:bookmarkStart w:id="31" w:name="limited-supplier-performance-information"/>
    <w:p>
      <w:pPr>
        <w:pStyle w:val="Heading3"/>
      </w:pPr>
      <w:r>
        <w:t xml:space="preserve">Limited Supplier Performance Information</w:t>
      </w:r>
    </w:p>
    <w:p>
      <w:pPr>
        <w:pStyle w:val="FirstParagraph"/>
      </w:pPr>
      <w:r>
        <w:t xml:space="preserve">Historical supplier performance may not be centrally available.</w:t>
      </w:r>
    </w:p>
    <w:p>
      <w:pPr>
        <w:pStyle w:val="BodyText"/>
      </w:pPr>
      <w:r>
        <w:rPr>
          <w:b/>
          <w:bCs/>
        </w:rPr>
        <w:t xml:space="preserve">Solution</w:t>
      </w:r>
    </w:p>
    <w:p>
      <w:pPr>
        <w:pStyle w:val="BodyText"/>
      </w:pPr>
      <w:r>
        <w:t xml:space="preserve">Supplier performance profiles tracking quality, delivery, responsiveness, and contract completion.</w:t>
      </w:r>
    </w:p>
    <w:p>
      <w:r>
        <w:pict>
          <v:rect style="width:0;height:1.5pt" o:hralign="center" o:hrstd="t" o:hr="t"/>
        </w:pict>
      </w:r>
    </w:p>
    <w:bookmarkEnd w:id="31"/>
    <w:bookmarkEnd w:id="32"/>
    <w:bookmarkStart w:id="34" w:name="problem-110"/>
    <w:p>
      <w:pPr>
        <w:pStyle w:val="Heading2"/>
      </w:pPr>
      <w:r>
        <w:t xml:space="preserve">Problem 110</w:t>
      </w:r>
    </w:p>
    <w:bookmarkStart w:id="33" w:name="printing-delays-affect-distribution"/>
    <w:p>
      <w:pPr>
        <w:pStyle w:val="Heading3"/>
      </w:pPr>
      <w:r>
        <w:t xml:space="preserve">Printing Delays Affect Distribution</w:t>
      </w:r>
    </w:p>
    <w:p>
      <w:pPr>
        <w:pStyle w:val="FirstParagraph"/>
      </w:pPr>
      <w:r>
        <w:t xml:space="preserve">Production delays can compress distribution timelines.</w:t>
      </w:r>
    </w:p>
    <w:p>
      <w:pPr>
        <w:pStyle w:val="BodyText"/>
      </w:pPr>
      <w:r>
        <w:rPr>
          <w:b/>
          <w:bCs/>
        </w:rPr>
        <w:t xml:space="preserve">Solution</w:t>
      </w:r>
    </w:p>
    <w:p>
      <w:pPr>
        <w:pStyle w:val="BodyText"/>
      </w:pPr>
      <w:r>
        <w:t xml:space="preserve">Production milestone monitoring with exception alerts and revised delivery forecasting.</w:t>
      </w:r>
    </w:p>
    <w:p>
      <w:r>
        <w:pict>
          <v:rect style="width:0;height:1.5pt" o:hralign="center" o:hrstd="t" o:hr="t"/>
        </w:pict>
      </w:r>
    </w:p>
    <w:bookmarkEnd w:id="33"/>
    <w:bookmarkEnd w:id="34"/>
    <w:bookmarkStart w:id="36" w:name="problem-111"/>
    <w:p>
      <w:pPr>
        <w:pStyle w:val="Heading2"/>
      </w:pPr>
      <w:r>
        <w:t xml:space="preserve">Problem 111</w:t>
      </w:r>
    </w:p>
    <w:bookmarkStart w:id="35" w:name="Xdcf67a64ebe8163db85d0122a4ad1156e421327"/>
    <w:p>
      <w:pPr>
        <w:pStyle w:val="Heading3"/>
      </w:pPr>
      <w:r>
        <w:t xml:space="preserve">Limited Visibility into Financial Commitments</w:t>
      </w:r>
    </w:p>
    <w:p>
      <w:pPr>
        <w:pStyle w:val="FirstParagraph"/>
      </w:pPr>
      <w:r>
        <w:t xml:space="preserve">Decision-makers may have limited consolidated information regarding procurement commitments.</w:t>
      </w:r>
    </w:p>
    <w:p>
      <w:pPr>
        <w:pStyle w:val="BodyText"/>
      </w:pPr>
      <w:r>
        <w:rPr>
          <w:b/>
          <w:bCs/>
        </w:rPr>
        <w:t xml:space="preserve">Solution</w:t>
      </w:r>
    </w:p>
    <w:p>
      <w:pPr>
        <w:pStyle w:val="BodyText"/>
      </w:pPr>
      <w:r>
        <w:t xml:space="preserve">Financial commitment dashboards showing planned procurement, awarded contracts, deliveries, and outstanding obligations.</w:t>
      </w:r>
    </w:p>
    <w:p>
      <w:r>
        <w:pict>
          <v:rect style="width:0;height:1.5pt" o:hralign="center" o:hrstd="t" o:hr="t"/>
        </w:pict>
      </w:r>
    </w:p>
    <w:bookmarkEnd w:id="35"/>
    <w:bookmarkEnd w:id="36"/>
    <w:bookmarkStart w:id="38" w:name="problem-112"/>
    <w:p>
      <w:pPr>
        <w:pStyle w:val="Heading2"/>
      </w:pPr>
      <w:r>
        <w:t xml:space="preserve">Problem 112</w:t>
      </w:r>
    </w:p>
    <w:bookmarkStart w:id="37" w:name="difficult-document-management"/>
    <w:p>
      <w:pPr>
        <w:pStyle w:val="Heading3"/>
      </w:pPr>
      <w:r>
        <w:t xml:space="preserve">Difficult Document Management</w:t>
      </w:r>
    </w:p>
    <w:p>
      <w:pPr>
        <w:pStyle w:val="FirstParagraph"/>
      </w:pPr>
      <w:r>
        <w:t xml:space="preserve">Contracts and supporting documents may be distributed across multiple offices.</w:t>
      </w:r>
    </w:p>
    <w:p>
      <w:pPr>
        <w:pStyle w:val="BodyText"/>
      </w:pPr>
      <w:r>
        <w:rPr>
          <w:b/>
          <w:bCs/>
        </w:rPr>
        <w:t xml:space="preserve">Solution</w:t>
      </w:r>
    </w:p>
    <w:p>
      <w:pPr>
        <w:pStyle w:val="BodyText"/>
      </w:pPr>
      <w:r>
        <w:t xml:space="preserve">Central electronic document repository with version control and secure access.</w:t>
      </w:r>
    </w:p>
    <w:p>
      <w:r>
        <w:pict>
          <v:rect style="width:0;height:1.5pt" o:hralign="center" o:hrstd="t" o:hr="t"/>
        </w:pict>
      </w:r>
    </w:p>
    <w:bookmarkEnd w:id="37"/>
    <w:bookmarkEnd w:id="38"/>
    <w:bookmarkStart w:id="40" w:name="problem-113"/>
    <w:p>
      <w:pPr>
        <w:pStyle w:val="Heading2"/>
      </w:pPr>
      <w:r>
        <w:t xml:space="preserve">Problem 113</w:t>
      </w:r>
    </w:p>
    <w:bookmarkStart w:id="39" w:name="weak-delivery-verification"/>
    <w:p>
      <w:pPr>
        <w:pStyle w:val="Heading3"/>
      </w:pPr>
      <w:r>
        <w:t xml:space="preserve">Weak Delivery Verification</w:t>
      </w:r>
    </w:p>
    <w:p>
      <w:pPr>
        <w:pStyle w:val="FirstParagraph"/>
      </w:pPr>
      <w:r>
        <w:t xml:space="preserve">Contracted quantities may differ from delivered quantities.</w:t>
      </w:r>
    </w:p>
    <w:p>
      <w:pPr>
        <w:pStyle w:val="BodyText"/>
      </w:pPr>
      <w:r>
        <w:rPr>
          <w:b/>
          <w:bCs/>
        </w:rPr>
        <w:t xml:space="preserve">Solution</w:t>
      </w:r>
    </w:p>
    <w:p>
      <w:pPr>
        <w:pStyle w:val="BodyText"/>
      </w:pPr>
      <w:r>
        <w:t xml:space="preserve">Digital delivery verification integrated with warehouse receiving processes.</w:t>
      </w:r>
    </w:p>
    <w:p>
      <w:r>
        <w:pict>
          <v:rect style="width:0;height:1.5pt" o:hralign="center" o:hrstd="t" o:hr="t"/>
        </w:pict>
      </w:r>
    </w:p>
    <w:bookmarkEnd w:id="39"/>
    <w:bookmarkEnd w:id="40"/>
    <w:bookmarkStart w:id="42" w:name="problem-114"/>
    <w:p>
      <w:pPr>
        <w:pStyle w:val="Heading2"/>
      </w:pPr>
      <w:r>
        <w:t xml:space="preserve">Problem 114</w:t>
      </w:r>
    </w:p>
    <w:bookmarkStart w:id="41" w:name="Xb83cf173340de8b1ffa5c38a9390eb96d4574a1"/>
    <w:p>
      <w:pPr>
        <w:pStyle w:val="Heading3"/>
      </w:pPr>
      <w:r>
        <w:t xml:space="preserve">Procurement Lessons Are Not Systematically Captured</w:t>
      </w:r>
    </w:p>
    <w:p>
      <w:pPr>
        <w:pStyle w:val="FirstParagraph"/>
      </w:pPr>
      <w:r>
        <w:t xml:space="preserve">Operational experience may not be recorded for future procurements.</w:t>
      </w:r>
    </w:p>
    <w:p>
      <w:pPr>
        <w:pStyle w:val="BodyText"/>
      </w:pPr>
      <w:r>
        <w:rPr>
          <w:b/>
          <w:bCs/>
        </w:rPr>
        <w:t xml:space="preserve">Solution</w:t>
      </w:r>
    </w:p>
    <w:p>
      <w:pPr>
        <w:pStyle w:val="BodyText"/>
      </w:pPr>
      <w:r>
        <w:t xml:space="preserve">Post-contract evaluation capturing lessons learned, risks encountered, and recommendations.</w:t>
      </w:r>
    </w:p>
    <w:p>
      <w:r>
        <w:pict>
          <v:rect style="width:0;height:1.5pt" o:hralign="center" o:hrstd="t" o:hr="t"/>
        </w:pict>
      </w:r>
    </w:p>
    <w:bookmarkEnd w:id="41"/>
    <w:bookmarkEnd w:id="42"/>
    <w:bookmarkStart w:id="44" w:name="problem-115"/>
    <w:p>
      <w:pPr>
        <w:pStyle w:val="Heading2"/>
      </w:pPr>
      <w:r>
        <w:t xml:space="preserve">Problem 115</w:t>
      </w:r>
    </w:p>
    <w:bookmarkStart w:id="43" w:name="limited-procurement-analytics"/>
    <w:p>
      <w:pPr>
        <w:pStyle w:val="Heading3"/>
      </w:pPr>
      <w:r>
        <w:t xml:space="preserve">Limited Procurement Analytics</w:t>
      </w:r>
    </w:p>
    <w:p>
      <w:pPr>
        <w:pStyle w:val="FirstParagraph"/>
      </w:pPr>
      <w:r>
        <w:t xml:space="preserve">Long-term procurement trends are difficult to analyse.</w:t>
      </w:r>
    </w:p>
    <w:p>
      <w:pPr>
        <w:pStyle w:val="BodyText"/>
      </w:pPr>
      <w:r>
        <w:rPr>
          <w:b/>
          <w:bCs/>
        </w:rPr>
        <w:t xml:space="preserve">Solution</w:t>
      </w:r>
    </w:p>
    <w:p>
      <w:pPr>
        <w:pStyle w:val="BodyText"/>
      </w:pPr>
      <w:r>
        <w:t xml:space="preserve">Procurement analytics supporting strategic planning, budgeting, and supplier management.</w:t>
      </w:r>
    </w:p>
    <w:p>
      <w:r>
        <w:pict>
          <v:rect style="width:0;height:1.5pt" o:hralign="center" o:hrstd="t" o:hr="t"/>
        </w:pict>
      </w:r>
    </w:p>
    <w:bookmarkEnd w:id="43"/>
    <w:bookmarkEnd w:id="44"/>
    <w:bookmarkEnd w:id="45"/>
    <w:bookmarkStart w:id="53" w:name="functional-requirements"/>
    <w:p>
      <w:pPr>
        <w:pStyle w:val="Heading1"/>
      </w:pPr>
      <w:r>
        <w:t xml:space="preserve">20.5 Functional Requirements</w:t>
      </w:r>
    </w:p>
    <w:bookmarkStart w:id="46" w:name="fr-proc-001"/>
    <w:p>
      <w:pPr>
        <w:pStyle w:val="Heading3"/>
      </w:pPr>
      <w:r>
        <w:t xml:space="preserve">FR-PROC-001</w:t>
      </w:r>
    </w:p>
    <w:p>
      <w:pPr>
        <w:pStyle w:val="FirstParagraph"/>
      </w:pPr>
      <w:r>
        <w:t xml:space="preserve">Create Procurement Plan</w:t>
      </w:r>
    </w:p>
    <w:p>
      <w:pPr>
        <w:pStyle w:val="BodyText"/>
      </w:pPr>
      <w:r>
        <w:t xml:space="preserve">Generate procurement plans using approved demand forecasts.</w:t>
      </w:r>
    </w:p>
    <w:p>
      <w:r>
        <w:pict>
          <v:rect style="width:0;height:1.5pt" o:hralign="center" o:hrstd="t" o:hr="t"/>
        </w:pict>
      </w:r>
    </w:p>
    <w:bookmarkEnd w:id="46"/>
    <w:bookmarkStart w:id="47" w:name="fr-proc-002"/>
    <w:p>
      <w:pPr>
        <w:pStyle w:val="Heading3"/>
      </w:pPr>
      <w:r>
        <w:t xml:space="preserve">FR-PROC-002</w:t>
      </w:r>
    </w:p>
    <w:p>
      <w:pPr>
        <w:pStyle w:val="FirstParagraph"/>
      </w:pPr>
      <w:r>
        <w:t xml:space="preserve">Register Procurement Package</w:t>
      </w:r>
    </w:p>
    <w:p>
      <w:pPr>
        <w:pStyle w:val="BodyText"/>
      </w:pPr>
      <w:r>
        <w:t xml:space="preserve">Maintain procurement package information, schedules, and responsible officers.</w:t>
      </w:r>
    </w:p>
    <w:p>
      <w:r>
        <w:pict>
          <v:rect style="width:0;height:1.5pt" o:hralign="center" o:hrstd="t" o:hr="t"/>
        </w:pict>
      </w:r>
    </w:p>
    <w:bookmarkEnd w:id="47"/>
    <w:bookmarkStart w:id="48" w:name="fr-proc-003"/>
    <w:p>
      <w:pPr>
        <w:pStyle w:val="Heading3"/>
      </w:pPr>
      <w:r>
        <w:t xml:space="preserve">FR-PROC-003</w:t>
      </w:r>
    </w:p>
    <w:p>
      <w:pPr>
        <w:pStyle w:val="FirstParagraph"/>
      </w:pPr>
      <w:r>
        <w:t xml:space="preserve">Supplier Registry</w:t>
      </w:r>
    </w:p>
    <w:p>
      <w:pPr>
        <w:pStyle w:val="BodyText"/>
      </w:pPr>
      <w:r>
        <w:t xml:space="preserve">Maintain verified supplier profiles including:</w:t>
      </w:r>
    </w:p>
    <w:p>
      <w:pPr>
        <w:pStyle w:val="Compact"/>
        <w:numPr>
          <w:ilvl w:val="0"/>
          <w:numId w:val="1002"/>
        </w:numPr>
      </w:pPr>
      <w:r>
        <w:t xml:space="preserve">Organization details.</w:t>
      </w:r>
    </w:p>
    <w:p>
      <w:pPr>
        <w:pStyle w:val="Compact"/>
        <w:numPr>
          <w:ilvl w:val="0"/>
          <w:numId w:val="1002"/>
        </w:numPr>
      </w:pPr>
      <w:r>
        <w:t xml:space="preserve">Areas of specialization.</w:t>
      </w:r>
    </w:p>
    <w:p>
      <w:pPr>
        <w:pStyle w:val="Compact"/>
        <w:numPr>
          <w:ilvl w:val="0"/>
          <w:numId w:val="1002"/>
        </w:numPr>
      </w:pPr>
      <w:r>
        <w:t xml:space="preserve">Contract history.</w:t>
      </w:r>
    </w:p>
    <w:p>
      <w:pPr>
        <w:pStyle w:val="Compact"/>
        <w:numPr>
          <w:ilvl w:val="0"/>
          <w:numId w:val="1002"/>
        </w:numPr>
      </w:pPr>
      <w:r>
        <w:t xml:space="preserve">Performance history.</w:t>
      </w:r>
    </w:p>
    <w:p>
      <w:r>
        <w:pict>
          <v:rect style="width:0;height:1.5pt" o:hralign="center" o:hrstd="t" o:hr="t"/>
        </w:pict>
      </w:r>
    </w:p>
    <w:bookmarkEnd w:id="48"/>
    <w:bookmarkStart w:id="49" w:name="fr-proc-004"/>
    <w:p>
      <w:pPr>
        <w:pStyle w:val="Heading3"/>
      </w:pPr>
      <w:r>
        <w:t xml:space="preserve">FR-PROC-004</w:t>
      </w:r>
    </w:p>
    <w:p>
      <w:pPr>
        <w:pStyle w:val="FirstParagraph"/>
      </w:pPr>
      <w:r>
        <w:t xml:space="preserve">Contract Management</w:t>
      </w:r>
    </w:p>
    <w:p>
      <w:pPr>
        <w:pStyle w:val="BodyText"/>
      </w:pPr>
      <w:r>
        <w:t xml:space="preserve">Manage:</w:t>
      </w:r>
    </w:p>
    <w:p>
      <w:pPr>
        <w:pStyle w:val="Compact"/>
        <w:numPr>
          <w:ilvl w:val="0"/>
          <w:numId w:val="1003"/>
        </w:numPr>
      </w:pPr>
      <w:r>
        <w:t xml:space="preserve">Contract values.</w:t>
      </w:r>
    </w:p>
    <w:p>
      <w:pPr>
        <w:pStyle w:val="Compact"/>
        <w:numPr>
          <w:ilvl w:val="0"/>
          <w:numId w:val="1003"/>
        </w:numPr>
      </w:pPr>
      <w:r>
        <w:t xml:space="preserve">Deliverables.</w:t>
      </w:r>
    </w:p>
    <w:p>
      <w:pPr>
        <w:pStyle w:val="Compact"/>
        <w:numPr>
          <w:ilvl w:val="0"/>
          <w:numId w:val="1003"/>
        </w:numPr>
      </w:pPr>
      <w:r>
        <w:t xml:space="preserve">Milestones.</w:t>
      </w:r>
    </w:p>
    <w:p>
      <w:pPr>
        <w:pStyle w:val="Compact"/>
        <w:numPr>
          <w:ilvl w:val="0"/>
          <w:numId w:val="1003"/>
        </w:numPr>
      </w:pPr>
      <w:r>
        <w:t xml:space="preserve">Amendments.</w:t>
      </w:r>
    </w:p>
    <w:p>
      <w:pPr>
        <w:pStyle w:val="Compact"/>
        <w:numPr>
          <w:ilvl w:val="0"/>
          <w:numId w:val="1003"/>
        </w:numPr>
      </w:pPr>
      <w:r>
        <w:t xml:space="preserve">Completion status.</w:t>
      </w:r>
    </w:p>
    <w:p>
      <w:r>
        <w:pict>
          <v:rect style="width:0;height:1.5pt" o:hralign="center" o:hrstd="t" o:hr="t"/>
        </w:pict>
      </w:r>
    </w:p>
    <w:bookmarkEnd w:id="49"/>
    <w:bookmarkStart w:id="50" w:name="fr-proc-005"/>
    <w:p>
      <w:pPr>
        <w:pStyle w:val="Heading3"/>
      </w:pPr>
      <w:r>
        <w:t xml:space="preserve">FR-PROC-005</w:t>
      </w:r>
    </w:p>
    <w:p>
      <w:pPr>
        <w:pStyle w:val="FirstParagraph"/>
      </w:pPr>
      <w:r>
        <w:t xml:space="preserve">Production Monitoring</w:t>
      </w:r>
    </w:p>
    <w:p>
      <w:pPr>
        <w:pStyle w:val="BodyText"/>
      </w:pPr>
      <w:r>
        <w:t xml:space="preserve">Track:</w:t>
      </w:r>
    </w:p>
    <w:p>
      <w:pPr>
        <w:pStyle w:val="Compact"/>
        <w:numPr>
          <w:ilvl w:val="0"/>
          <w:numId w:val="1004"/>
        </w:numPr>
      </w:pPr>
      <w:r>
        <w:t xml:space="preserve">Printing progress.</w:t>
      </w:r>
    </w:p>
    <w:p>
      <w:pPr>
        <w:pStyle w:val="Compact"/>
        <w:numPr>
          <w:ilvl w:val="0"/>
          <w:numId w:val="1004"/>
        </w:numPr>
      </w:pPr>
      <w:r>
        <w:t xml:space="preserve">Production milestones.</w:t>
      </w:r>
    </w:p>
    <w:p>
      <w:pPr>
        <w:pStyle w:val="Compact"/>
        <w:numPr>
          <w:ilvl w:val="0"/>
          <w:numId w:val="1004"/>
        </w:numPr>
      </w:pPr>
      <w:r>
        <w:t xml:space="preserve">Delivery schedules.</w:t>
      </w:r>
    </w:p>
    <w:p>
      <w:pPr>
        <w:pStyle w:val="Compact"/>
        <w:numPr>
          <w:ilvl w:val="0"/>
          <w:numId w:val="1004"/>
        </w:numPr>
      </w:pPr>
      <w:r>
        <w:t xml:space="preserve">Outstanding quantities.</w:t>
      </w:r>
    </w:p>
    <w:p>
      <w:r>
        <w:pict>
          <v:rect style="width:0;height:1.5pt" o:hralign="center" o:hrstd="t" o:hr="t"/>
        </w:pict>
      </w:r>
    </w:p>
    <w:bookmarkEnd w:id="50"/>
    <w:bookmarkStart w:id="51" w:name="fr-proc-006"/>
    <w:p>
      <w:pPr>
        <w:pStyle w:val="Heading3"/>
      </w:pPr>
      <w:r>
        <w:t xml:space="preserve">FR-PROC-006</w:t>
      </w:r>
    </w:p>
    <w:p>
      <w:pPr>
        <w:pStyle w:val="FirstParagraph"/>
      </w:pPr>
      <w:r>
        <w:t xml:space="preserve">Delivery Verification</w:t>
      </w:r>
    </w:p>
    <w:p>
      <w:pPr>
        <w:pStyle w:val="BodyText"/>
      </w:pPr>
      <w:r>
        <w:t xml:space="preserve">Compare:</w:t>
      </w:r>
    </w:p>
    <w:p>
      <w:pPr>
        <w:pStyle w:val="Compact"/>
        <w:numPr>
          <w:ilvl w:val="0"/>
          <w:numId w:val="1005"/>
        </w:numPr>
      </w:pPr>
      <w:r>
        <w:t xml:space="preserve">Ordered quantities.</w:t>
      </w:r>
    </w:p>
    <w:p>
      <w:pPr>
        <w:pStyle w:val="Compact"/>
        <w:numPr>
          <w:ilvl w:val="0"/>
          <w:numId w:val="1005"/>
        </w:numPr>
      </w:pPr>
      <w:r>
        <w:t xml:space="preserve">Produced quantities.</w:t>
      </w:r>
    </w:p>
    <w:p>
      <w:pPr>
        <w:pStyle w:val="Compact"/>
        <w:numPr>
          <w:ilvl w:val="0"/>
          <w:numId w:val="1005"/>
        </w:numPr>
      </w:pPr>
      <w:r>
        <w:t xml:space="preserve">Delivered quantities.</w:t>
      </w:r>
    </w:p>
    <w:p>
      <w:pPr>
        <w:pStyle w:val="Compact"/>
        <w:numPr>
          <w:ilvl w:val="0"/>
          <w:numId w:val="1005"/>
        </w:numPr>
      </w:pPr>
      <w:r>
        <w:t xml:space="preserve">Accepted quantities.</w:t>
      </w:r>
    </w:p>
    <w:p>
      <w:r>
        <w:pict>
          <v:rect style="width:0;height:1.5pt" o:hralign="center" o:hrstd="t" o:hr="t"/>
        </w:pict>
      </w:r>
    </w:p>
    <w:bookmarkEnd w:id="51"/>
    <w:bookmarkStart w:id="52" w:name="fr-proc-007"/>
    <w:p>
      <w:pPr>
        <w:pStyle w:val="Heading3"/>
      </w:pPr>
      <w:r>
        <w:t xml:space="preserve">FR-PROC-007</w:t>
      </w:r>
    </w:p>
    <w:p>
      <w:pPr>
        <w:pStyle w:val="FirstParagraph"/>
      </w:pPr>
      <w:r>
        <w:t xml:space="preserve">Supplier Evaluation</w:t>
      </w:r>
    </w:p>
    <w:p>
      <w:pPr>
        <w:pStyle w:val="BodyText"/>
      </w:pPr>
      <w:r>
        <w:t xml:space="preserve">Assess suppliers using standardized performance criteria after contract completion.</w:t>
      </w:r>
    </w:p>
    <w:p>
      <w:r>
        <w:pict>
          <v:rect style="width:0;height:1.5pt" o:hralign="center" o:hrstd="t" o:hr="t"/>
        </w:pict>
      </w:r>
    </w:p>
    <w:bookmarkEnd w:id="52"/>
    <w:bookmarkEnd w:id="53"/>
    <w:bookmarkStart w:id="58" w:name="procurement-package"/>
    <w:p>
      <w:pPr>
        <w:pStyle w:val="Heading1"/>
      </w:pPr>
      <w:r>
        <w:t xml:space="preserve">20.6 Procurement Package</w:t>
      </w:r>
    </w:p>
    <w:p>
      <w:pPr>
        <w:pStyle w:val="FirstParagraph"/>
      </w:pPr>
      <w:r>
        <w:t xml:space="preserve">Each procurement package includes:</w:t>
      </w:r>
    </w:p>
    <w:bookmarkStart w:id="54" w:name="general-information"/>
    <w:p>
      <w:pPr>
        <w:pStyle w:val="Heading2"/>
      </w:pPr>
      <w:r>
        <w:t xml:space="preserve">General Information</w:t>
      </w:r>
    </w:p>
    <w:p>
      <w:pPr>
        <w:pStyle w:val="Compact"/>
        <w:numPr>
          <w:ilvl w:val="0"/>
          <w:numId w:val="1006"/>
        </w:numPr>
      </w:pPr>
      <w:r>
        <w:t xml:space="preserve">Procurement reference.</w:t>
      </w:r>
    </w:p>
    <w:p>
      <w:pPr>
        <w:pStyle w:val="Compact"/>
        <w:numPr>
          <w:ilvl w:val="0"/>
          <w:numId w:val="1006"/>
        </w:numPr>
      </w:pPr>
      <w:r>
        <w:t xml:space="preserve">Programme.</w:t>
      </w:r>
    </w:p>
    <w:p>
      <w:pPr>
        <w:pStyle w:val="Compact"/>
        <w:numPr>
          <w:ilvl w:val="0"/>
          <w:numId w:val="1006"/>
        </w:numPr>
      </w:pPr>
      <w:r>
        <w:t xml:space="preserve">Procurement method.</w:t>
      </w:r>
    </w:p>
    <w:p>
      <w:pPr>
        <w:pStyle w:val="Compact"/>
        <w:numPr>
          <w:ilvl w:val="0"/>
          <w:numId w:val="1006"/>
        </w:numPr>
      </w:pPr>
      <w:r>
        <w:t xml:space="preserve">Responsible department.</w:t>
      </w:r>
    </w:p>
    <w:p>
      <w:pPr>
        <w:pStyle w:val="Compact"/>
        <w:numPr>
          <w:ilvl w:val="0"/>
          <w:numId w:val="1006"/>
        </w:numPr>
      </w:pPr>
      <w:r>
        <w:t xml:space="preserve">Procurement status.</w:t>
      </w:r>
    </w:p>
    <w:p>
      <w:r>
        <w:pict>
          <v:rect style="width:0;height:1.5pt" o:hralign="center" o:hrstd="t" o:hr="t"/>
        </w:pict>
      </w:r>
    </w:p>
    <w:bookmarkEnd w:id="54"/>
    <w:bookmarkStart w:id="55" w:name="financial-information"/>
    <w:p>
      <w:pPr>
        <w:pStyle w:val="Heading2"/>
      </w:pPr>
      <w:r>
        <w:t xml:space="preserve">Financial Information</w:t>
      </w:r>
    </w:p>
    <w:p>
      <w:pPr>
        <w:pStyle w:val="Compact"/>
        <w:numPr>
          <w:ilvl w:val="0"/>
          <w:numId w:val="1007"/>
        </w:numPr>
      </w:pPr>
      <w:r>
        <w:t xml:space="preserve">Approved budget.</w:t>
      </w:r>
    </w:p>
    <w:p>
      <w:pPr>
        <w:pStyle w:val="Compact"/>
        <w:numPr>
          <w:ilvl w:val="0"/>
          <w:numId w:val="1007"/>
        </w:numPr>
      </w:pPr>
      <w:r>
        <w:t xml:space="preserve">Contract value.</w:t>
      </w:r>
    </w:p>
    <w:p>
      <w:pPr>
        <w:pStyle w:val="Compact"/>
        <w:numPr>
          <w:ilvl w:val="0"/>
          <w:numId w:val="1007"/>
        </w:numPr>
      </w:pPr>
      <w:r>
        <w:t xml:space="preserve">Variations.</w:t>
      </w:r>
    </w:p>
    <w:p>
      <w:pPr>
        <w:pStyle w:val="Compact"/>
        <w:numPr>
          <w:ilvl w:val="0"/>
          <w:numId w:val="1007"/>
        </w:numPr>
      </w:pPr>
      <w:r>
        <w:t xml:space="preserve">Payment milestones.</w:t>
      </w:r>
    </w:p>
    <w:p>
      <w:r>
        <w:pict>
          <v:rect style="width:0;height:1.5pt" o:hralign="center" o:hrstd="t" o:hr="t"/>
        </w:pict>
      </w:r>
    </w:p>
    <w:bookmarkEnd w:id="55"/>
    <w:bookmarkStart w:id="56" w:name="deliverables"/>
    <w:p>
      <w:pPr>
        <w:pStyle w:val="Heading2"/>
      </w:pPr>
      <w:r>
        <w:t xml:space="preserve">Deliverables</w:t>
      </w:r>
    </w:p>
    <w:p>
      <w:pPr>
        <w:pStyle w:val="Compact"/>
        <w:numPr>
          <w:ilvl w:val="0"/>
          <w:numId w:val="1008"/>
        </w:numPr>
      </w:pPr>
      <w:r>
        <w:t xml:space="preserve">Textbook titles.</w:t>
      </w:r>
    </w:p>
    <w:p>
      <w:pPr>
        <w:pStyle w:val="Compact"/>
        <w:numPr>
          <w:ilvl w:val="0"/>
          <w:numId w:val="1008"/>
        </w:numPr>
      </w:pPr>
      <w:r>
        <w:t xml:space="preserve">Quantities.</w:t>
      </w:r>
    </w:p>
    <w:p>
      <w:pPr>
        <w:pStyle w:val="Compact"/>
        <w:numPr>
          <w:ilvl w:val="0"/>
          <w:numId w:val="1008"/>
        </w:numPr>
      </w:pPr>
      <w:r>
        <w:t xml:space="preserve">Delivery schedule.</w:t>
      </w:r>
    </w:p>
    <w:p>
      <w:pPr>
        <w:pStyle w:val="Compact"/>
        <w:numPr>
          <w:ilvl w:val="0"/>
          <w:numId w:val="1008"/>
        </w:numPr>
      </w:pPr>
      <w:r>
        <w:t xml:space="preserve">Delivery locations.</w:t>
      </w:r>
    </w:p>
    <w:p>
      <w:r>
        <w:pict>
          <v:rect style="width:0;height:1.5pt" o:hralign="center" o:hrstd="t" o:hr="t"/>
        </w:pict>
      </w:r>
    </w:p>
    <w:bookmarkEnd w:id="56"/>
    <w:bookmarkStart w:id="57" w:name="documents"/>
    <w:p>
      <w:pPr>
        <w:pStyle w:val="Heading2"/>
      </w:pPr>
      <w:r>
        <w:t xml:space="preserve">Documents</w:t>
      </w:r>
    </w:p>
    <w:p>
      <w:pPr>
        <w:pStyle w:val="Compact"/>
        <w:numPr>
          <w:ilvl w:val="0"/>
          <w:numId w:val="1009"/>
        </w:numPr>
      </w:pPr>
      <w:r>
        <w:t xml:space="preserve">Procurement plan.</w:t>
      </w:r>
    </w:p>
    <w:p>
      <w:pPr>
        <w:pStyle w:val="Compact"/>
        <w:numPr>
          <w:ilvl w:val="0"/>
          <w:numId w:val="1009"/>
        </w:numPr>
      </w:pPr>
      <w:r>
        <w:t xml:space="preserve">Tender documentation.</w:t>
      </w:r>
    </w:p>
    <w:p>
      <w:pPr>
        <w:pStyle w:val="Compact"/>
        <w:numPr>
          <w:ilvl w:val="0"/>
          <w:numId w:val="1009"/>
        </w:numPr>
      </w:pPr>
      <w:r>
        <w:t xml:space="preserve">Contract.</w:t>
      </w:r>
    </w:p>
    <w:p>
      <w:pPr>
        <w:pStyle w:val="Compact"/>
        <w:numPr>
          <w:ilvl w:val="0"/>
          <w:numId w:val="1009"/>
        </w:numPr>
      </w:pPr>
      <w:r>
        <w:t xml:space="preserve">Amendments.</w:t>
      </w:r>
    </w:p>
    <w:p>
      <w:pPr>
        <w:pStyle w:val="Compact"/>
        <w:numPr>
          <w:ilvl w:val="0"/>
          <w:numId w:val="1009"/>
        </w:numPr>
      </w:pPr>
      <w:r>
        <w:t xml:space="preserve">Delivery certificates.</w:t>
      </w:r>
    </w:p>
    <w:p>
      <w:pPr>
        <w:pStyle w:val="Compact"/>
        <w:numPr>
          <w:ilvl w:val="0"/>
          <w:numId w:val="1009"/>
        </w:numPr>
      </w:pPr>
      <w:r>
        <w:t xml:space="preserve">Acceptance reports.</w:t>
      </w:r>
    </w:p>
    <w:p>
      <w:r>
        <w:pict>
          <v:rect style="width:0;height:1.5pt" o:hralign="center" o:hrstd="t" o:hr="t"/>
        </w:pict>
      </w:r>
    </w:p>
    <w:bookmarkEnd w:id="57"/>
    <w:bookmarkEnd w:id="58"/>
    <w:bookmarkStart w:id="63" w:name="user-roles"/>
    <w:p>
      <w:pPr>
        <w:pStyle w:val="Heading1"/>
      </w:pPr>
      <w:r>
        <w:t xml:space="preserve">20.7 User Roles</w:t>
      </w:r>
    </w:p>
    <w:bookmarkStart w:id="59" w:name="procurement-officers"/>
    <w:p>
      <w:pPr>
        <w:pStyle w:val="Heading3"/>
      </w:pPr>
      <w:r>
        <w:t xml:space="preserve">Procurement Officers</w:t>
      </w:r>
    </w:p>
    <w:p>
      <w:pPr>
        <w:pStyle w:val="Compact"/>
        <w:numPr>
          <w:ilvl w:val="0"/>
          <w:numId w:val="1010"/>
        </w:numPr>
      </w:pPr>
      <w:r>
        <w:t xml:space="preserve">Create procurement plans.</w:t>
      </w:r>
    </w:p>
    <w:p>
      <w:pPr>
        <w:pStyle w:val="Compact"/>
        <w:numPr>
          <w:ilvl w:val="0"/>
          <w:numId w:val="1010"/>
        </w:numPr>
      </w:pPr>
      <w:r>
        <w:t xml:space="preserve">Manage procurement packages.</w:t>
      </w:r>
    </w:p>
    <w:p>
      <w:pPr>
        <w:pStyle w:val="Compact"/>
        <w:numPr>
          <w:ilvl w:val="0"/>
          <w:numId w:val="1010"/>
        </w:numPr>
      </w:pPr>
      <w:r>
        <w:t xml:space="preserve">Monitor contracts.</w:t>
      </w:r>
    </w:p>
    <w:p>
      <w:r>
        <w:pict>
          <v:rect style="width:0;height:1.5pt" o:hralign="center" o:hrstd="t" o:hr="t"/>
        </w:pict>
      </w:r>
    </w:p>
    <w:bookmarkEnd w:id="59"/>
    <w:bookmarkStart w:id="60" w:name="finance-officers"/>
    <w:p>
      <w:pPr>
        <w:pStyle w:val="Heading3"/>
      </w:pPr>
      <w:r>
        <w:t xml:space="preserve">Finance Officers</w:t>
      </w:r>
    </w:p>
    <w:p>
      <w:pPr>
        <w:pStyle w:val="Compact"/>
        <w:numPr>
          <w:ilvl w:val="0"/>
          <w:numId w:val="1011"/>
        </w:numPr>
      </w:pPr>
      <w:r>
        <w:t xml:space="preserve">Monitor commitments.</w:t>
      </w:r>
    </w:p>
    <w:p>
      <w:pPr>
        <w:pStyle w:val="Compact"/>
        <w:numPr>
          <w:ilvl w:val="0"/>
          <w:numId w:val="1011"/>
        </w:numPr>
      </w:pPr>
      <w:r>
        <w:t xml:space="preserve">Track payment milestones.</w:t>
      </w:r>
    </w:p>
    <w:p>
      <w:r>
        <w:pict>
          <v:rect style="width:0;height:1.5pt" o:hralign="center" o:hrstd="t" o:hr="t"/>
        </w:pict>
      </w:r>
    </w:p>
    <w:bookmarkEnd w:id="60"/>
    <w:bookmarkStart w:id="61" w:name="warehouse-officers"/>
    <w:p>
      <w:pPr>
        <w:pStyle w:val="Heading3"/>
      </w:pPr>
      <w:r>
        <w:t xml:space="preserve">Warehouse Officers</w:t>
      </w:r>
    </w:p>
    <w:p>
      <w:pPr>
        <w:pStyle w:val="Compact"/>
        <w:numPr>
          <w:ilvl w:val="0"/>
          <w:numId w:val="1012"/>
        </w:numPr>
      </w:pPr>
      <w:r>
        <w:t xml:space="preserve">Confirm deliveries.</w:t>
      </w:r>
    </w:p>
    <w:p>
      <w:pPr>
        <w:pStyle w:val="Compact"/>
        <w:numPr>
          <w:ilvl w:val="0"/>
          <w:numId w:val="1012"/>
        </w:numPr>
      </w:pPr>
      <w:r>
        <w:t xml:space="preserve">Verify quantities.</w:t>
      </w:r>
    </w:p>
    <w:p>
      <w:r>
        <w:pict>
          <v:rect style="width:0;height:1.5pt" o:hralign="center" o:hrstd="t" o:hr="t"/>
        </w:pict>
      </w:r>
    </w:p>
    <w:bookmarkEnd w:id="61"/>
    <w:bookmarkStart w:id="62" w:name="suppliers"/>
    <w:p>
      <w:pPr>
        <w:pStyle w:val="Heading3"/>
      </w:pPr>
      <w:r>
        <w:t xml:space="preserve">Suppliers</w:t>
      </w:r>
    </w:p>
    <w:p>
      <w:pPr>
        <w:pStyle w:val="FirstParagraph"/>
      </w:pPr>
      <w:r>
        <w:t xml:space="preserve">Where authorized, suppliers may update production milestones or submit required documentation according to ministry-defined permissions.</w:t>
      </w:r>
    </w:p>
    <w:p>
      <w:r>
        <w:pict>
          <v:rect style="width:0;height:1.5pt" o:hralign="center" o:hrstd="t" o:hr="t"/>
        </w:pict>
      </w:r>
    </w:p>
    <w:bookmarkEnd w:id="62"/>
    <w:bookmarkEnd w:id="63"/>
    <w:bookmarkStart w:id="64" w:name="business-rules"/>
    <w:p>
      <w:pPr>
        <w:pStyle w:val="Heading1"/>
      </w:pPr>
      <w:r>
        <w:t xml:space="preserve">20.8 Business Rules</w:t>
      </w:r>
    </w:p>
    <w:p>
      <w:pPr>
        <w:pStyle w:val="FirstParagraph"/>
      </w:pPr>
      <w:r>
        <w:t xml:space="preserve">Examples include:</w:t>
      </w:r>
    </w:p>
    <w:p>
      <w:pPr>
        <w:pStyle w:val="Compact"/>
        <w:numPr>
          <w:ilvl w:val="0"/>
          <w:numId w:val="1013"/>
        </w:numPr>
      </w:pPr>
      <w:r>
        <w:t xml:space="preserve">Procurement packages must reference approved demand forecasts.</w:t>
      </w:r>
    </w:p>
    <w:p>
      <w:pPr>
        <w:pStyle w:val="Compact"/>
        <w:numPr>
          <w:ilvl w:val="0"/>
          <w:numId w:val="1013"/>
        </w:numPr>
      </w:pPr>
      <w:r>
        <w:t xml:space="preserve">Contracts shall only reference approved textbook titles.</w:t>
      </w:r>
    </w:p>
    <w:p>
      <w:pPr>
        <w:pStyle w:val="Compact"/>
        <w:numPr>
          <w:ilvl w:val="0"/>
          <w:numId w:val="1013"/>
        </w:numPr>
      </w:pPr>
      <w:r>
        <w:t xml:space="preserve">Delivery quantities must be verified before acceptance.</w:t>
      </w:r>
    </w:p>
    <w:p>
      <w:pPr>
        <w:pStyle w:val="Compact"/>
        <w:numPr>
          <w:ilvl w:val="0"/>
          <w:numId w:val="1013"/>
        </w:numPr>
      </w:pPr>
      <w:r>
        <w:t xml:space="preserve">Contract amendments require appropriate approval.</w:t>
      </w:r>
    </w:p>
    <w:p>
      <w:pPr>
        <w:pStyle w:val="Compact"/>
        <w:numPr>
          <w:ilvl w:val="0"/>
          <w:numId w:val="1013"/>
        </w:numPr>
      </w:pPr>
      <w:r>
        <w:t xml:space="preserve">Supplier evaluations are completed after contract close-out.</w:t>
      </w:r>
    </w:p>
    <w:p>
      <w:r>
        <w:pict>
          <v:rect style="width:0;height:1.5pt" o:hralign="center" o:hrstd="t" o:hr="t"/>
        </w:pict>
      </w:r>
    </w:p>
    <w:bookmarkEnd w:id="64"/>
    <w:bookmarkStart w:id="65" w:name="reports"/>
    <w:p>
      <w:pPr>
        <w:pStyle w:val="Heading1"/>
      </w:pPr>
      <w:r>
        <w:t xml:space="preserve">20.9 Reports</w:t>
      </w:r>
    </w:p>
    <w:p>
      <w:pPr>
        <w:pStyle w:val="FirstParagraph"/>
      </w:pPr>
      <w:r>
        <w:t xml:space="preserve">Illustrative reports include:</w:t>
      </w:r>
    </w:p>
    <w:p>
      <w:pPr>
        <w:pStyle w:val="Compact"/>
        <w:numPr>
          <w:ilvl w:val="0"/>
          <w:numId w:val="1014"/>
        </w:numPr>
      </w:pPr>
      <w:r>
        <w:t xml:space="preserve">Procurement status.</w:t>
      </w:r>
    </w:p>
    <w:p>
      <w:pPr>
        <w:pStyle w:val="Compact"/>
        <w:numPr>
          <w:ilvl w:val="0"/>
          <w:numId w:val="1014"/>
        </w:numPr>
      </w:pPr>
      <w:r>
        <w:t xml:space="preserve">Contract summary.</w:t>
      </w:r>
    </w:p>
    <w:p>
      <w:pPr>
        <w:pStyle w:val="Compact"/>
        <w:numPr>
          <w:ilvl w:val="0"/>
          <w:numId w:val="1014"/>
        </w:numPr>
      </w:pPr>
      <w:r>
        <w:t xml:space="preserve">Supplier performance.</w:t>
      </w:r>
    </w:p>
    <w:p>
      <w:pPr>
        <w:pStyle w:val="Compact"/>
        <w:numPr>
          <w:ilvl w:val="0"/>
          <w:numId w:val="1014"/>
        </w:numPr>
      </w:pPr>
      <w:r>
        <w:t xml:space="preserve">Delivery schedule.</w:t>
      </w:r>
    </w:p>
    <w:p>
      <w:pPr>
        <w:pStyle w:val="Compact"/>
        <w:numPr>
          <w:ilvl w:val="0"/>
          <w:numId w:val="1014"/>
        </w:numPr>
      </w:pPr>
      <w:r>
        <w:t xml:space="preserve">Financial commitments.</w:t>
      </w:r>
    </w:p>
    <w:p>
      <w:pPr>
        <w:pStyle w:val="Compact"/>
        <w:numPr>
          <w:ilvl w:val="0"/>
          <w:numId w:val="1014"/>
        </w:numPr>
      </w:pPr>
      <w:r>
        <w:t xml:space="preserve">Outstanding contracts.</w:t>
      </w:r>
    </w:p>
    <w:p>
      <w:pPr>
        <w:pStyle w:val="Compact"/>
        <w:numPr>
          <w:ilvl w:val="0"/>
          <w:numId w:val="1014"/>
        </w:numPr>
      </w:pPr>
      <w:r>
        <w:t xml:space="preserve">Production progress.</w:t>
      </w:r>
    </w:p>
    <w:p>
      <w:pPr>
        <w:pStyle w:val="Compact"/>
        <w:numPr>
          <w:ilvl w:val="0"/>
          <w:numId w:val="1014"/>
        </w:numPr>
      </w:pPr>
      <w:r>
        <w:t xml:space="preserve">Procurement history.</w:t>
      </w:r>
    </w:p>
    <w:p>
      <w:r>
        <w:pict>
          <v:rect style="width:0;height:1.5pt" o:hralign="center" o:hrstd="t" o:hr="t"/>
        </w:pict>
      </w:r>
    </w:p>
    <w:bookmarkEnd w:id="65"/>
    <w:bookmarkStart w:id="68" w:name="dashboards"/>
    <w:p>
      <w:pPr>
        <w:pStyle w:val="Heading1"/>
      </w:pPr>
      <w:r>
        <w:t xml:space="preserve">20.10 Dashboards</w:t>
      </w:r>
    </w:p>
    <w:bookmarkStart w:id="66" w:name="executive-dashboard"/>
    <w:p>
      <w:pPr>
        <w:pStyle w:val="Heading3"/>
      </w:pPr>
      <w:r>
        <w:t xml:space="preserve">Executive Dashboard</w:t>
      </w:r>
    </w:p>
    <w:p>
      <w:pPr>
        <w:pStyle w:val="Compact"/>
        <w:numPr>
          <w:ilvl w:val="0"/>
          <w:numId w:val="1015"/>
        </w:numPr>
      </w:pPr>
      <w:r>
        <w:t xml:space="preserve">Procurement progress.</w:t>
      </w:r>
    </w:p>
    <w:p>
      <w:pPr>
        <w:pStyle w:val="Compact"/>
        <w:numPr>
          <w:ilvl w:val="0"/>
          <w:numId w:val="1015"/>
        </w:numPr>
      </w:pPr>
      <w:r>
        <w:t xml:space="preserve">Budget utilization.</w:t>
      </w:r>
    </w:p>
    <w:p>
      <w:pPr>
        <w:pStyle w:val="Compact"/>
        <w:numPr>
          <w:ilvl w:val="0"/>
          <w:numId w:val="1015"/>
        </w:numPr>
      </w:pPr>
      <w:r>
        <w:t xml:space="preserve">Active contracts.</w:t>
      </w:r>
    </w:p>
    <w:p>
      <w:pPr>
        <w:pStyle w:val="Compact"/>
        <w:numPr>
          <w:ilvl w:val="0"/>
          <w:numId w:val="1015"/>
        </w:numPr>
      </w:pPr>
      <w:r>
        <w:t xml:space="preserve">Delayed procurements.</w:t>
      </w:r>
    </w:p>
    <w:p>
      <w:pPr>
        <w:pStyle w:val="Compact"/>
        <w:numPr>
          <w:ilvl w:val="0"/>
          <w:numId w:val="1015"/>
        </w:numPr>
      </w:pPr>
      <w:r>
        <w:t xml:space="preserve">Supplier performance.</w:t>
      </w:r>
    </w:p>
    <w:bookmarkEnd w:id="66"/>
    <w:bookmarkStart w:id="67" w:name="procurement-dashboard"/>
    <w:p>
      <w:pPr>
        <w:pStyle w:val="Heading3"/>
      </w:pPr>
      <w:r>
        <w:t xml:space="preserve">Procurement Dashboard</w:t>
      </w:r>
    </w:p>
    <w:p>
      <w:pPr>
        <w:pStyle w:val="Compact"/>
        <w:numPr>
          <w:ilvl w:val="0"/>
          <w:numId w:val="1016"/>
        </w:numPr>
      </w:pPr>
      <w:r>
        <w:t xml:space="preserve">Procurement packages.</w:t>
      </w:r>
    </w:p>
    <w:p>
      <w:pPr>
        <w:pStyle w:val="Compact"/>
        <w:numPr>
          <w:ilvl w:val="0"/>
          <w:numId w:val="1016"/>
        </w:numPr>
      </w:pPr>
      <w:r>
        <w:t xml:space="preserve">Production status.</w:t>
      </w:r>
    </w:p>
    <w:p>
      <w:pPr>
        <w:pStyle w:val="Compact"/>
        <w:numPr>
          <w:ilvl w:val="0"/>
          <w:numId w:val="1016"/>
        </w:numPr>
      </w:pPr>
      <w:r>
        <w:t xml:space="preserve">Delivery schedules.</w:t>
      </w:r>
    </w:p>
    <w:p>
      <w:pPr>
        <w:pStyle w:val="Compact"/>
        <w:numPr>
          <w:ilvl w:val="0"/>
          <w:numId w:val="1016"/>
        </w:numPr>
      </w:pPr>
      <w:r>
        <w:t xml:space="preserve">Outstanding milestones.</w:t>
      </w:r>
    </w:p>
    <w:p>
      <w:r>
        <w:pict>
          <v:rect style="width:0;height:1.5pt" o:hralign="center" o:hrstd="t" o:hr="t"/>
        </w:pict>
      </w:r>
    </w:p>
    <w:bookmarkEnd w:id="67"/>
    <w:bookmarkEnd w:id="68"/>
    <w:bookmarkStart w:id="69" w:name="notifications"/>
    <w:p>
      <w:pPr>
        <w:pStyle w:val="Heading1"/>
      </w:pPr>
      <w:r>
        <w:t xml:space="preserve">20.11 Notifications</w:t>
      </w:r>
    </w:p>
    <w:p>
      <w:pPr>
        <w:pStyle w:val="FirstParagraph"/>
      </w:pPr>
      <w:r>
        <w:t xml:space="preserve">Authorized users may receive alerts for:</w:t>
      </w:r>
    </w:p>
    <w:p>
      <w:pPr>
        <w:pStyle w:val="Compact"/>
        <w:numPr>
          <w:ilvl w:val="0"/>
          <w:numId w:val="1017"/>
        </w:numPr>
      </w:pPr>
      <w:r>
        <w:t xml:space="preserve">Procurement approvals.</w:t>
      </w:r>
    </w:p>
    <w:p>
      <w:pPr>
        <w:pStyle w:val="Compact"/>
        <w:numPr>
          <w:ilvl w:val="0"/>
          <w:numId w:val="1017"/>
        </w:numPr>
      </w:pPr>
      <w:r>
        <w:t xml:space="preserve">Upcoming milestones.</w:t>
      </w:r>
    </w:p>
    <w:p>
      <w:pPr>
        <w:pStyle w:val="Compact"/>
        <w:numPr>
          <w:ilvl w:val="0"/>
          <w:numId w:val="1017"/>
        </w:numPr>
      </w:pPr>
      <w:r>
        <w:t xml:space="preserve">Contract expiry.</w:t>
      </w:r>
    </w:p>
    <w:p>
      <w:pPr>
        <w:pStyle w:val="Compact"/>
        <w:numPr>
          <w:ilvl w:val="0"/>
          <w:numId w:val="1017"/>
        </w:numPr>
      </w:pPr>
      <w:r>
        <w:t xml:space="preserve">Delivery delays.</w:t>
      </w:r>
    </w:p>
    <w:p>
      <w:pPr>
        <w:pStyle w:val="Compact"/>
        <w:numPr>
          <w:ilvl w:val="0"/>
          <w:numId w:val="1017"/>
        </w:numPr>
      </w:pPr>
      <w:r>
        <w:t xml:space="preserve">Quantity discrepancies.</w:t>
      </w:r>
    </w:p>
    <w:p>
      <w:pPr>
        <w:pStyle w:val="Compact"/>
        <w:numPr>
          <w:ilvl w:val="0"/>
          <w:numId w:val="1017"/>
        </w:numPr>
      </w:pPr>
      <w:r>
        <w:t xml:space="preserve">Outstanding evaluations.</w:t>
      </w:r>
    </w:p>
    <w:p>
      <w:r>
        <w:pict>
          <v:rect style="width:0;height:1.5pt" o:hralign="center" o:hrstd="t" o:hr="t"/>
        </w:pict>
      </w:r>
    </w:p>
    <w:bookmarkEnd w:id="69"/>
    <w:bookmarkStart w:id="70" w:name="offline-behaviour"/>
    <w:p>
      <w:pPr>
        <w:pStyle w:val="Heading1"/>
      </w:pPr>
      <w:r>
        <w:t xml:space="preserve">20.12 Offline Behaviour</w:t>
      </w:r>
    </w:p>
    <w:p>
      <w:pPr>
        <w:pStyle w:val="FirstParagraph"/>
      </w:pPr>
      <w:r>
        <w:t xml:space="preserve">While procurement management is primarily performed from ministry and administrative offices with reliable connectivity, authorized users should still be able to review cached information and prepare documentation locally where required. Synchronization occurs automatically when connectivity is available.</w:t>
      </w:r>
    </w:p>
    <w:p>
      <w:r>
        <w:pict>
          <v:rect style="width:0;height:1.5pt" o:hralign="center" o:hrstd="t" o:hr="t"/>
        </w:pict>
      </w:r>
    </w:p>
    <w:bookmarkEnd w:id="70"/>
    <w:bookmarkStart w:id="71" w:name="integration-points"/>
    <w:p>
      <w:pPr>
        <w:pStyle w:val="Heading1"/>
      </w:pPr>
      <w:r>
        <w:t xml:space="preserve">20.13 Integration Points</w:t>
      </w:r>
    </w:p>
    <w:p>
      <w:pPr>
        <w:pStyle w:val="FirstParagraph"/>
      </w:pPr>
      <w:r>
        <w:t xml:space="preserve">This module integrates with:</w:t>
      </w:r>
    </w:p>
    <w:p>
      <w:pPr>
        <w:pStyle w:val="Compact"/>
        <w:numPr>
          <w:ilvl w:val="0"/>
          <w:numId w:val="1018"/>
        </w:numPr>
      </w:pPr>
      <w:r>
        <w:t xml:space="preserve">National School Registry.</w:t>
      </w:r>
    </w:p>
    <w:p>
      <w:pPr>
        <w:pStyle w:val="Compact"/>
        <w:numPr>
          <w:ilvl w:val="0"/>
          <w:numId w:val="1018"/>
        </w:numPr>
      </w:pPr>
      <w:r>
        <w:t xml:space="preserve">National Textbook Registry.</w:t>
      </w:r>
    </w:p>
    <w:p>
      <w:pPr>
        <w:pStyle w:val="Compact"/>
        <w:numPr>
          <w:ilvl w:val="0"/>
          <w:numId w:val="1018"/>
        </w:numPr>
      </w:pPr>
      <w:r>
        <w:t xml:space="preserve">Demand Planning.</w:t>
      </w:r>
    </w:p>
    <w:p>
      <w:pPr>
        <w:pStyle w:val="Compact"/>
        <w:numPr>
          <w:ilvl w:val="0"/>
          <w:numId w:val="1018"/>
        </w:numPr>
      </w:pPr>
      <w:r>
        <w:t xml:space="preserve">Warehouse Management.</w:t>
      </w:r>
    </w:p>
    <w:p>
      <w:pPr>
        <w:pStyle w:val="Compact"/>
        <w:numPr>
          <w:ilvl w:val="0"/>
          <w:numId w:val="1018"/>
        </w:numPr>
      </w:pPr>
      <w:r>
        <w:t xml:space="preserve">Distribution Management.</w:t>
      </w:r>
    </w:p>
    <w:p>
      <w:pPr>
        <w:pStyle w:val="Compact"/>
        <w:numPr>
          <w:ilvl w:val="0"/>
          <w:numId w:val="1018"/>
        </w:numPr>
      </w:pPr>
      <w:r>
        <w:t xml:space="preserve">Inventory Management.</w:t>
      </w:r>
    </w:p>
    <w:p>
      <w:pPr>
        <w:pStyle w:val="Compact"/>
        <w:numPr>
          <w:ilvl w:val="0"/>
          <w:numId w:val="1018"/>
        </w:numPr>
      </w:pPr>
      <w:r>
        <w:t xml:space="preserve">Financial Reporting.</w:t>
      </w:r>
    </w:p>
    <w:p>
      <w:pPr>
        <w:pStyle w:val="Compact"/>
        <w:numPr>
          <w:ilvl w:val="0"/>
          <w:numId w:val="1018"/>
        </w:numPr>
      </w:pPr>
      <w:r>
        <w:t xml:space="preserve">Analytics.</w:t>
      </w:r>
    </w:p>
    <w:p>
      <w:r>
        <w:pict>
          <v:rect style="width:0;height:1.5pt" o:hralign="center" o:hrstd="t" o:hr="t"/>
        </w:pict>
      </w:r>
    </w:p>
    <w:bookmarkEnd w:id="71"/>
    <w:bookmarkStart w:id="72" w:name="success-indicators"/>
    <w:p>
      <w:pPr>
        <w:pStyle w:val="Heading1"/>
      </w:pPr>
      <w:r>
        <w:t xml:space="preserve">20.14 Success Indicators</w:t>
      </w:r>
    </w:p>
    <w:p>
      <w:pPr>
        <w:pStyle w:val="FirstParagraph"/>
      </w:pPr>
      <w:r>
        <w:t xml:space="preserve">Examples include:</w:t>
      </w:r>
    </w:p>
    <w:p>
      <w:pPr>
        <w:pStyle w:val="Compact"/>
        <w:numPr>
          <w:ilvl w:val="0"/>
          <w:numId w:val="1019"/>
        </w:numPr>
      </w:pPr>
      <w:r>
        <w:t xml:space="preserve">Procurement cycle time.</w:t>
      </w:r>
    </w:p>
    <w:p>
      <w:pPr>
        <w:pStyle w:val="Compact"/>
        <w:numPr>
          <w:ilvl w:val="0"/>
          <w:numId w:val="1019"/>
        </w:numPr>
      </w:pPr>
      <w:r>
        <w:t xml:space="preserve">Percentage of contracts completed on schedule.</w:t>
      </w:r>
    </w:p>
    <w:p>
      <w:pPr>
        <w:pStyle w:val="Compact"/>
        <w:numPr>
          <w:ilvl w:val="0"/>
          <w:numId w:val="1019"/>
        </w:numPr>
      </w:pPr>
      <w:r>
        <w:t xml:space="preserve">Supplier on-time delivery rate.</w:t>
      </w:r>
    </w:p>
    <w:p>
      <w:pPr>
        <w:pStyle w:val="Compact"/>
        <w:numPr>
          <w:ilvl w:val="0"/>
          <w:numId w:val="1019"/>
        </w:numPr>
      </w:pPr>
      <w:r>
        <w:t xml:space="preserve">Quantity verification accuracy.</w:t>
      </w:r>
    </w:p>
    <w:p>
      <w:pPr>
        <w:pStyle w:val="Compact"/>
        <w:numPr>
          <w:ilvl w:val="0"/>
          <w:numId w:val="1019"/>
        </w:numPr>
      </w:pPr>
      <w:r>
        <w:t xml:space="preserve">Contract close-out completion rate.</w:t>
      </w:r>
    </w:p>
    <w:p>
      <w:pPr>
        <w:pStyle w:val="Compact"/>
        <w:numPr>
          <w:ilvl w:val="0"/>
          <w:numId w:val="1019"/>
        </w:numPr>
      </w:pPr>
      <w:r>
        <w:t xml:space="preserve">Supplier performance evaluation completion rate.</w:t>
      </w:r>
    </w:p>
    <w:p>
      <w:pPr>
        <w:pStyle w:val="Compact"/>
        <w:numPr>
          <w:ilvl w:val="0"/>
          <w:numId w:val="1019"/>
        </w:numPr>
      </w:pPr>
      <w:r>
        <w:t xml:space="preserve">Procurement reporting timeliness.</w:t>
      </w:r>
    </w:p>
    <w:p>
      <w:r>
        <w:pict>
          <v:rect style="width:0;height:1.5pt" o:hralign="center" o:hrstd="t" o:hr="t"/>
        </w:pict>
      </w:r>
    </w:p>
    <w:bookmarkEnd w:id="72"/>
    <w:bookmarkStart w:id="73" w:name="conclusion"/>
    <w:p>
      <w:pPr>
        <w:pStyle w:val="Heading1"/>
      </w:pPr>
      <w:r>
        <w:t xml:space="preserve">20.15 Conclusion</w:t>
      </w:r>
    </w:p>
    <w:p>
      <w:pPr>
        <w:pStyle w:val="FirstParagraph"/>
      </w:pPr>
      <w:r>
        <w:t xml:space="preserve">The Procurement, Contract and Supplier Management Module provides the operational bridge between educational planning and the physical availability of textbooks.</w:t>
      </w:r>
    </w:p>
    <w:p>
      <w:pPr>
        <w:pStyle w:val="BodyText"/>
      </w:pPr>
      <w:r>
        <w:t xml:space="preserve">By strengthening procurement planning, supplier oversight, contract monitoring, production visibility, and delivery verification, the module enhances transparency, improves accountability, and supports more efficient stewardship of public resources while complementing the Ministry’s established procurement framework.</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2026-07-10T13:11:18Z</dcterms:created>
  <dcterms:modified xsi:type="dcterms:W3CDTF">2026-07-10T13:11:18Z</dcterms:modified>
</cp:coreProperties>
</file>

<file path=docProps/custom.xml><?xml version="1.0" encoding="utf-8"?>
<Properties xmlns="http://schemas.openxmlformats.org/officeDocument/2006/custom-properties" xmlns:vt="http://schemas.openxmlformats.org/officeDocument/2006/docPropsVTypes"/>
</file>