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11"/>
    <w:p>
      <w:pPr>
        <w:pStyle w:val="Heading1"/>
      </w:pPr>
      <w:r>
        <w:t xml:space="preserve">CHAPTER 11</w:t>
      </w:r>
    </w:p>
    <w:bookmarkEnd w:id="20"/>
    <w:bookmarkStart w:id="22" w:name="X877a4bd0956941705ae049cd0b66d0eed4656ec"/>
    <w:p>
      <w:pPr>
        <w:pStyle w:val="Heading1"/>
      </w:pPr>
      <w:r>
        <w:t xml:space="preserve">NATIONAL EDUCATION COMMAND CENTRE AND EXECUTIVE INTELLIGENCE PLATFORM</w:t>
      </w:r>
    </w:p>
    <w:bookmarkStart w:id="21" w:name="introduction"/>
    <w:p>
      <w:pPr>
        <w:pStyle w:val="Heading2"/>
      </w:pPr>
      <w:r>
        <w:t xml:space="preserve">11.1 Introduction</w:t>
      </w:r>
    </w:p>
    <w:p>
      <w:pPr>
        <w:pStyle w:val="FirstParagraph"/>
      </w:pPr>
      <w:r>
        <w:t xml:space="preserve">Modern public administration requires timely, accurate, and actionable information.</w:t>
      </w:r>
    </w:p>
    <w:p>
      <w:pPr>
        <w:pStyle w:val="BodyText"/>
      </w:pPr>
      <w:r>
        <w:t xml:space="preserve">Education leaders are expected to make strategic decisions regarding policy implementation, budget allocation, resource deployment, infrastructure investment, teacher support, textbook distribution, and emergency response.</w:t>
      </w:r>
    </w:p>
    <w:p>
      <w:pPr>
        <w:pStyle w:val="BodyText"/>
      </w:pPr>
      <w:r>
        <w:t xml:space="preserve">These decisions are most effective when supported by integrated operational intelligence rather than fragmented reports from independent information systems.</w:t>
      </w:r>
    </w:p>
    <w:p>
      <w:pPr>
        <w:pStyle w:val="BodyText"/>
      </w:pPr>
      <w:r>
        <w:t xml:space="preserve">EduOS Cameroon introduces the</w:t>
      </w:r>
      <w:r>
        <w:t xml:space="preserve"> </w:t>
      </w:r>
      <w:r>
        <w:rPr>
          <w:b/>
          <w:bCs/>
        </w:rPr>
        <w:t xml:space="preserve">National Education Command Centre (NECC)</w:t>
      </w:r>
      <w:r>
        <w:t xml:space="preserve">—a centralized executive intelligence platform that provides authorized decision-makers with a comprehensive, real-time view of education operations across the country.</w:t>
      </w:r>
    </w:p>
    <w:p>
      <w:pPr>
        <w:pStyle w:val="BodyText"/>
      </w:pPr>
      <w:r>
        <w:t xml:space="preserve">The National Education Command Centre is not intended to replace existing management structures. Instead, it strengthens decision-making by consolidating operational information from approved education systems into a secure executive environment.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vision"/>
    <w:p>
      <w:pPr>
        <w:pStyle w:val="Heading1"/>
      </w:pPr>
      <w:r>
        <w:t xml:space="preserve">11.2 Vision</w:t>
      </w:r>
    </w:p>
    <w:p>
      <w:pPr>
        <w:pStyle w:val="FirstParagraph"/>
      </w:pPr>
      <w:r>
        <w:t xml:space="preserve">To establish a single national operational picture of Cameroon’s education system that enables evidence-based planning, proactive management, and continuous improvement.</w:t>
      </w:r>
    </w:p>
    <w:p>
      <w:r>
        <w:pict>
          <v:rect style="width:0;height:1.5pt" o:hralign="center" o:hrstd="t" o:hr="t"/>
        </w:pict>
      </w:r>
    </w:p>
    <w:bookmarkEnd w:id="23"/>
    <w:bookmarkStart w:id="24" w:name="strategic-objectives"/>
    <w:p>
      <w:pPr>
        <w:pStyle w:val="Heading1"/>
      </w:pPr>
      <w:r>
        <w:t xml:space="preserve">11.3 Strategic Objectives</w:t>
      </w:r>
    </w:p>
    <w:p>
      <w:pPr>
        <w:pStyle w:val="FirstParagraph"/>
      </w:pPr>
      <w:r>
        <w:t xml:space="preserve">The National Education Command Centre seeks to:</w:t>
      </w:r>
    </w:p>
    <w:p>
      <w:pPr>
        <w:pStyle w:val="Compact"/>
        <w:numPr>
          <w:ilvl w:val="0"/>
          <w:numId w:val="1001"/>
        </w:numPr>
      </w:pPr>
      <w:r>
        <w:t xml:space="preserve">Improve executive decision-making.</w:t>
      </w:r>
    </w:p>
    <w:p>
      <w:pPr>
        <w:pStyle w:val="Compact"/>
        <w:numPr>
          <w:ilvl w:val="0"/>
          <w:numId w:val="1001"/>
        </w:numPr>
      </w:pPr>
      <w:r>
        <w:t xml:space="preserve">Increase operational visibility.</w:t>
      </w:r>
    </w:p>
    <w:p>
      <w:pPr>
        <w:pStyle w:val="Compact"/>
        <w:numPr>
          <w:ilvl w:val="0"/>
          <w:numId w:val="1001"/>
        </w:numPr>
      </w:pPr>
      <w:r>
        <w:t xml:space="preserve">Strengthen national coordination.</w:t>
      </w:r>
    </w:p>
    <w:p>
      <w:pPr>
        <w:pStyle w:val="Compact"/>
        <w:numPr>
          <w:ilvl w:val="0"/>
          <w:numId w:val="1001"/>
        </w:numPr>
      </w:pPr>
      <w:r>
        <w:t xml:space="preserve">Improve resource allocation.</w:t>
      </w:r>
    </w:p>
    <w:p>
      <w:pPr>
        <w:pStyle w:val="Compact"/>
        <w:numPr>
          <w:ilvl w:val="0"/>
          <w:numId w:val="1001"/>
        </w:numPr>
      </w:pPr>
      <w:r>
        <w:t xml:space="preserve">Support policy implementation.</w:t>
      </w:r>
    </w:p>
    <w:p>
      <w:pPr>
        <w:pStyle w:val="Compact"/>
        <w:numPr>
          <w:ilvl w:val="0"/>
          <w:numId w:val="1001"/>
        </w:numPr>
      </w:pPr>
      <w:r>
        <w:t xml:space="preserve">Improve monitoring and evaluation.</w:t>
      </w:r>
    </w:p>
    <w:p>
      <w:pPr>
        <w:pStyle w:val="Compact"/>
        <w:numPr>
          <w:ilvl w:val="0"/>
          <w:numId w:val="1001"/>
        </w:numPr>
      </w:pPr>
      <w:r>
        <w:t xml:space="preserve">Detect operational risks early.</w:t>
      </w:r>
    </w:p>
    <w:p>
      <w:pPr>
        <w:pStyle w:val="Compact"/>
        <w:numPr>
          <w:ilvl w:val="0"/>
          <w:numId w:val="1001"/>
        </w:numPr>
      </w:pPr>
      <w:r>
        <w:t xml:space="preserve">Strengthen institutional accountability.</w:t>
      </w:r>
    </w:p>
    <w:p>
      <w:r>
        <w:pict>
          <v:rect style="width:0;height:1.5pt" o:hralign="center" o:hrstd="t" o:hr="t"/>
        </w:pict>
      </w:r>
    </w:p>
    <w:bookmarkEnd w:id="24"/>
    <w:bookmarkStart w:id="25" w:name="the-national-education-digital-twin"/>
    <w:p>
      <w:pPr>
        <w:pStyle w:val="Heading1"/>
      </w:pPr>
      <w:r>
        <w:t xml:space="preserve">11.4 The National Education Digital Twin</w:t>
      </w:r>
    </w:p>
    <w:p>
      <w:pPr>
        <w:pStyle w:val="FirstParagraph"/>
      </w:pPr>
      <w:r>
        <w:t xml:space="preserve">EduOS Cameroon creates a continuously updated digital representation of the education system.</w:t>
      </w:r>
    </w:p>
    <w:p>
      <w:pPr>
        <w:pStyle w:val="BodyText"/>
      </w:pPr>
      <w:r>
        <w:rPr>
          <w:rStyle w:val="VerbatimChar"/>
        </w:rPr>
        <w:t xml:space="preserve">text id="necc001" Schools       │ Teachers       │ Students       │ Textbooks       │ Educational Assets       │ Warehouses       │ Distribution       │ School Inspections       │ Monitoring Systems       │ ───────────────       │       ▼ National Education Command Centre       │       ▼ Executive Dashboards       │       ▼ Evidence-Based Decisions</w:t>
      </w:r>
    </w:p>
    <w:p>
      <w:pPr>
        <w:pStyle w:val="BodyText"/>
      </w:pPr>
      <w:r>
        <w:t xml:space="preserve">The Command Centre consolidates operational information into a unified executive view.</w:t>
      </w:r>
    </w:p>
    <w:p>
      <w:r>
        <w:pict>
          <v:rect style="width:0;height:1.5pt" o:hralign="center" o:hrstd="t" o:hr="t"/>
        </w:pict>
      </w:r>
    </w:p>
    <w:bookmarkEnd w:id="25"/>
    <w:bookmarkStart w:id="30" w:name="executive-dashboard"/>
    <w:p>
      <w:pPr>
        <w:pStyle w:val="Heading1"/>
      </w:pPr>
      <w:r>
        <w:t xml:space="preserve">11.5 Executive Dashboard</w:t>
      </w:r>
    </w:p>
    <w:p>
      <w:pPr>
        <w:pStyle w:val="FirstParagraph"/>
      </w:pPr>
      <w:r>
        <w:t xml:space="preserve">The Executive Dashboard provides national leadership with high-level indicators, including:</w:t>
      </w:r>
    </w:p>
    <w:bookmarkStart w:id="26" w:name="national-overview"/>
    <w:p>
      <w:pPr>
        <w:pStyle w:val="Heading3"/>
      </w:pPr>
      <w:r>
        <w:t xml:space="preserve">National Overview</w:t>
      </w:r>
    </w:p>
    <w:p>
      <w:pPr>
        <w:pStyle w:val="Compact"/>
        <w:numPr>
          <w:ilvl w:val="0"/>
          <w:numId w:val="1002"/>
        </w:numPr>
      </w:pPr>
      <w:r>
        <w:t xml:space="preserve">Total schools.</w:t>
      </w:r>
    </w:p>
    <w:p>
      <w:pPr>
        <w:pStyle w:val="Compact"/>
        <w:numPr>
          <w:ilvl w:val="0"/>
          <w:numId w:val="1002"/>
        </w:numPr>
      </w:pPr>
      <w:r>
        <w:t xml:space="preserve">Active learners.</w:t>
      </w:r>
    </w:p>
    <w:p>
      <w:pPr>
        <w:pStyle w:val="Compact"/>
        <w:numPr>
          <w:ilvl w:val="0"/>
          <w:numId w:val="1002"/>
        </w:numPr>
      </w:pPr>
      <w:r>
        <w:t xml:space="preserve">Teachers.</w:t>
      </w:r>
    </w:p>
    <w:p>
      <w:pPr>
        <w:pStyle w:val="Compact"/>
        <w:numPr>
          <w:ilvl w:val="0"/>
          <w:numId w:val="1002"/>
        </w:numPr>
      </w:pPr>
      <w:r>
        <w:t xml:space="preserve">Textbooks in circulation.</w:t>
      </w:r>
    </w:p>
    <w:p>
      <w:pPr>
        <w:pStyle w:val="Compact"/>
        <w:numPr>
          <w:ilvl w:val="0"/>
          <w:numId w:val="1002"/>
        </w:numPr>
      </w:pPr>
      <w:r>
        <w:t xml:space="preserve">Registered education assets.</w:t>
      </w:r>
    </w:p>
    <w:p>
      <w:pPr>
        <w:pStyle w:val="Compact"/>
        <w:numPr>
          <w:ilvl w:val="0"/>
          <w:numId w:val="1002"/>
        </w:numPr>
      </w:pPr>
      <w:r>
        <w:t xml:space="preserve">Current inspections.</w:t>
      </w:r>
    </w:p>
    <w:p>
      <w:pPr>
        <w:pStyle w:val="Compact"/>
        <w:numPr>
          <w:ilvl w:val="0"/>
          <w:numId w:val="1002"/>
        </w:numPr>
      </w:pPr>
      <w:r>
        <w:t xml:space="preserve">Active distribution operations.</w:t>
      </w:r>
    </w:p>
    <w:p>
      <w:r>
        <w:pict>
          <v:rect style="width:0;height:1.5pt" o:hralign="center" o:hrstd="t" o:hr="t"/>
        </w:pict>
      </w:r>
    </w:p>
    <w:bookmarkEnd w:id="26"/>
    <w:bookmarkStart w:id="27" w:name="operational-status"/>
    <w:p>
      <w:pPr>
        <w:pStyle w:val="Heading3"/>
      </w:pPr>
      <w:r>
        <w:t xml:space="preserve">Operational Status</w:t>
      </w:r>
    </w:p>
    <w:p>
      <w:pPr>
        <w:pStyle w:val="FirstParagraph"/>
      </w:pPr>
      <w:r>
        <w:t xml:space="preserve">Real-time summaries of:</w:t>
      </w:r>
    </w:p>
    <w:p>
      <w:pPr>
        <w:pStyle w:val="Compact"/>
        <w:numPr>
          <w:ilvl w:val="0"/>
          <w:numId w:val="1003"/>
        </w:numPr>
      </w:pPr>
      <w:r>
        <w:t xml:space="preserve">Distribution progress.</w:t>
      </w:r>
    </w:p>
    <w:p>
      <w:pPr>
        <w:pStyle w:val="Compact"/>
        <w:numPr>
          <w:ilvl w:val="0"/>
          <w:numId w:val="1003"/>
        </w:numPr>
      </w:pPr>
      <w:r>
        <w:t xml:space="preserve">Inventory availability.</w:t>
      </w:r>
    </w:p>
    <w:p>
      <w:pPr>
        <w:pStyle w:val="Compact"/>
        <w:numPr>
          <w:ilvl w:val="0"/>
          <w:numId w:val="1003"/>
        </w:numPr>
      </w:pPr>
      <w:r>
        <w:t xml:space="preserve">School reporting.</w:t>
      </w:r>
    </w:p>
    <w:p>
      <w:pPr>
        <w:pStyle w:val="Compact"/>
        <w:numPr>
          <w:ilvl w:val="0"/>
          <w:numId w:val="1003"/>
        </w:numPr>
      </w:pPr>
      <w:r>
        <w:t xml:space="preserve">Inspection completion.</w:t>
      </w:r>
    </w:p>
    <w:p>
      <w:pPr>
        <w:pStyle w:val="Compact"/>
        <w:numPr>
          <w:ilvl w:val="0"/>
          <w:numId w:val="1003"/>
        </w:numPr>
      </w:pPr>
      <w:r>
        <w:t xml:space="preserve">Maintenance activities.</w:t>
      </w:r>
    </w:p>
    <w:p>
      <w:pPr>
        <w:pStyle w:val="Compact"/>
        <w:numPr>
          <w:ilvl w:val="0"/>
          <w:numId w:val="1003"/>
        </w:numPr>
      </w:pPr>
      <w:r>
        <w:t xml:space="preserve">Outstanding corrective actions.</w:t>
      </w:r>
    </w:p>
    <w:p>
      <w:r>
        <w:pict>
          <v:rect style="width:0;height:1.5pt" o:hralign="center" o:hrstd="t" o:hr="t"/>
        </w:pict>
      </w:r>
    </w:p>
    <w:bookmarkEnd w:id="27"/>
    <w:bookmarkStart w:id="28" w:name="geographic-intelligence"/>
    <w:p>
      <w:pPr>
        <w:pStyle w:val="Heading3"/>
      </w:pPr>
      <w:r>
        <w:t xml:space="preserve">Geographic Intelligence</w:t>
      </w:r>
    </w:p>
    <w:p>
      <w:pPr>
        <w:pStyle w:val="FirstParagraph"/>
      </w:pPr>
      <w:r>
        <w:t xml:space="preserve">Interactive national maps displaying:</w:t>
      </w:r>
    </w:p>
    <w:p>
      <w:pPr>
        <w:pStyle w:val="Compact"/>
        <w:numPr>
          <w:ilvl w:val="0"/>
          <w:numId w:val="1004"/>
        </w:numPr>
      </w:pPr>
      <w:r>
        <w:t xml:space="preserve">Resource distribution.</w:t>
      </w:r>
    </w:p>
    <w:p>
      <w:pPr>
        <w:pStyle w:val="Compact"/>
        <w:numPr>
          <w:ilvl w:val="0"/>
          <w:numId w:val="1004"/>
        </w:numPr>
      </w:pPr>
      <w:r>
        <w:t xml:space="preserve">School coverage.</w:t>
      </w:r>
    </w:p>
    <w:p>
      <w:pPr>
        <w:pStyle w:val="Compact"/>
        <w:numPr>
          <w:ilvl w:val="0"/>
          <w:numId w:val="1004"/>
        </w:numPr>
      </w:pPr>
      <w:r>
        <w:t xml:space="preserve">Infrastructure status.</w:t>
      </w:r>
    </w:p>
    <w:p>
      <w:pPr>
        <w:pStyle w:val="Compact"/>
        <w:numPr>
          <w:ilvl w:val="0"/>
          <w:numId w:val="1004"/>
        </w:numPr>
      </w:pPr>
      <w:r>
        <w:t xml:space="preserve">Inventory levels.</w:t>
      </w:r>
    </w:p>
    <w:p>
      <w:pPr>
        <w:pStyle w:val="Compact"/>
        <w:numPr>
          <w:ilvl w:val="0"/>
          <w:numId w:val="1004"/>
        </w:numPr>
      </w:pPr>
      <w:r>
        <w:t xml:space="preserve">Operational alerts.</w:t>
      </w:r>
    </w:p>
    <w:p>
      <w:pPr>
        <w:pStyle w:val="Compact"/>
        <w:numPr>
          <w:ilvl w:val="0"/>
          <w:numId w:val="1004"/>
        </w:numPr>
      </w:pPr>
      <w:r>
        <w:t xml:space="preserve">Regional performance.</w:t>
      </w:r>
    </w:p>
    <w:p>
      <w:r>
        <w:pict>
          <v:rect style="width:0;height:1.5pt" o:hralign="center" o:hrstd="t" o:hr="t"/>
        </w:pict>
      </w:r>
    </w:p>
    <w:bookmarkEnd w:id="28"/>
    <w:bookmarkStart w:id="29" w:name="strategic-performance-indicators"/>
    <w:p>
      <w:pPr>
        <w:pStyle w:val="Heading3"/>
      </w:pPr>
      <w:r>
        <w:t xml:space="preserve">Strategic Performance Indicators</w:t>
      </w:r>
    </w:p>
    <w:p>
      <w:pPr>
        <w:pStyle w:val="FirstParagraph"/>
      </w:pPr>
      <w:r>
        <w:t xml:space="preserve">Illustrative indicators include:</w:t>
      </w:r>
    </w:p>
    <w:p>
      <w:pPr>
        <w:pStyle w:val="Compact"/>
        <w:numPr>
          <w:ilvl w:val="0"/>
          <w:numId w:val="1005"/>
        </w:numPr>
      </w:pPr>
      <w:r>
        <w:t xml:space="preserve">Textbook availability.</w:t>
      </w:r>
    </w:p>
    <w:p>
      <w:pPr>
        <w:pStyle w:val="Compact"/>
        <w:numPr>
          <w:ilvl w:val="0"/>
          <w:numId w:val="1005"/>
        </w:numPr>
      </w:pPr>
      <w:r>
        <w:t xml:space="preserve">Inventory accuracy.</w:t>
      </w:r>
    </w:p>
    <w:p>
      <w:pPr>
        <w:pStyle w:val="Compact"/>
        <w:numPr>
          <w:ilvl w:val="0"/>
          <w:numId w:val="1005"/>
        </w:numPr>
      </w:pPr>
      <w:r>
        <w:t xml:space="preserve">Distribution completion.</w:t>
      </w:r>
    </w:p>
    <w:p>
      <w:pPr>
        <w:pStyle w:val="Compact"/>
        <w:numPr>
          <w:ilvl w:val="0"/>
          <w:numId w:val="1005"/>
        </w:numPr>
      </w:pPr>
      <w:r>
        <w:t xml:space="preserve">Asset utilization.</w:t>
      </w:r>
    </w:p>
    <w:p>
      <w:pPr>
        <w:pStyle w:val="Compact"/>
        <w:numPr>
          <w:ilvl w:val="0"/>
          <w:numId w:val="1005"/>
        </w:numPr>
      </w:pPr>
      <w:r>
        <w:t xml:space="preserve">Inspection coverage.</w:t>
      </w:r>
    </w:p>
    <w:p>
      <w:pPr>
        <w:pStyle w:val="Compact"/>
        <w:numPr>
          <w:ilvl w:val="0"/>
          <w:numId w:val="1005"/>
        </w:numPr>
      </w:pPr>
      <w:r>
        <w:t xml:space="preserve">Corrective action completion.</w:t>
      </w:r>
    </w:p>
    <w:p>
      <w:pPr>
        <w:pStyle w:val="Compact"/>
        <w:numPr>
          <w:ilvl w:val="0"/>
          <w:numId w:val="1005"/>
        </w:numPr>
      </w:pPr>
      <w:r>
        <w:t xml:space="preserve">Reporting compliance.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executive-intelligence-modules"/>
    <w:p>
      <w:pPr>
        <w:pStyle w:val="Heading1"/>
      </w:pPr>
      <w:r>
        <w:t xml:space="preserve">11.6 Executive Intelligence Modules</w:t>
      </w:r>
    </w:p>
    <w:bookmarkStart w:id="31" w:name="national-resource-intelligence"/>
    <w:p>
      <w:pPr>
        <w:pStyle w:val="Heading2"/>
      </w:pPr>
      <w:r>
        <w:t xml:space="preserve">National Resource Intelligence</w:t>
      </w:r>
    </w:p>
    <w:p>
      <w:pPr>
        <w:pStyle w:val="FirstParagraph"/>
      </w:pPr>
      <w:r>
        <w:t xml:space="preserve">Provides visibility into:</w:t>
      </w:r>
    </w:p>
    <w:p>
      <w:pPr>
        <w:pStyle w:val="Compact"/>
        <w:numPr>
          <w:ilvl w:val="0"/>
          <w:numId w:val="1006"/>
        </w:numPr>
      </w:pPr>
      <w:r>
        <w:t xml:space="preserve">Textbook inventories.</w:t>
      </w:r>
    </w:p>
    <w:p>
      <w:pPr>
        <w:pStyle w:val="Compact"/>
        <w:numPr>
          <w:ilvl w:val="0"/>
          <w:numId w:val="1006"/>
        </w:numPr>
      </w:pPr>
      <w:r>
        <w:t xml:space="preserve">Warehouse stock.</w:t>
      </w:r>
    </w:p>
    <w:p>
      <w:pPr>
        <w:pStyle w:val="Compact"/>
        <w:numPr>
          <w:ilvl w:val="0"/>
          <w:numId w:val="1006"/>
        </w:numPr>
      </w:pPr>
      <w:r>
        <w:t xml:space="preserve">School assets.</w:t>
      </w:r>
    </w:p>
    <w:p>
      <w:pPr>
        <w:pStyle w:val="Compact"/>
        <w:numPr>
          <w:ilvl w:val="0"/>
          <w:numId w:val="1006"/>
        </w:numPr>
      </w:pPr>
      <w:r>
        <w:t xml:space="preserve">Procurement status.</w:t>
      </w:r>
    </w:p>
    <w:p>
      <w:pPr>
        <w:pStyle w:val="Compact"/>
        <w:numPr>
          <w:ilvl w:val="0"/>
          <w:numId w:val="1006"/>
        </w:numPr>
      </w:pPr>
      <w:r>
        <w:t xml:space="preserve">Distribution activities.</w:t>
      </w:r>
    </w:p>
    <w:p>
      <w:r>
        <w:pict>
          <v:rect style="width:0;height:1.5pt" o:hralign="center" o:hrstd="t" o:hr="t"/>
        </w:pict>
      </w:r>
    </w:p>
    <w:bookmarkEnd w:id="31"/>
    <w:bookmarkStart w:id="32" w:name="operational-intelligence"/>
    <w:p>
      <w:pPr>
        <w:pStyle w:val="Heading2"/>
      </w:pPr>
      <w:r>
        <w:t xml:space="preserve">Operational Intelligence</w:t>
      </w:r>
    </w:p>
    <w:p>
      <w:pPr>
        <w:pStyle w:val="FirstParagraph"/>
      </w:pPr>
      <w:r>
        <w:t xml:space="preserve">Monitors:</w:t>
      </w:r>
    </w:p>
    <w:p>
      <w:pPr>
        <w:pStyle w:val="Compact"/>
        <w:numPr>
          <w:ilvl w:val="0"/>
          <w:numId w:val="1007"/>
        </w:numPr>
      </w:pPr>
      <w:r>
        <w:t xml:space="preserve">Daily operational activities.</w:t>
      </w:r>
    </w:p>
    <w:p>
      <w:pPr>
        <w:pStyle w:val="Compact"/>
        <w:numPr>
          <w:ilvl w:val="0"/>
          <w:numId w:val="1007"/>
        </w:numPr>
      </w:pPr>
      <w:r>
        <w:t xml:space="preserve">Emerging issues.</w:t>
      </w:r>
    </w:p>
    <w:p>
      <w:pPr>
        <w:pStyle w:val="Compact"/>
        <w:numPr>
          <w:ilvl w:val="0"/>
          <w:numId w:val="1007"/>
        </w:numPr>
      </w:pPr>
      <w:r>
        <w:t xml:space="preserve">Service delivery trends.</w:t>
      </w:r>
    </w:p>
    <w:p>
      <w:pPr>
        <w:pStyle w:val="Compact"/>
        <w:numPr>
          <w:ilvl w:val="0"/>
          <w:numId w:val="1007"/>
        </w:numPr>
      </w:pPr>
      <w:r>
        <w:t xml:space="preserve">Resource utilization.</w:t>
      </w:r>
    </w:p>
    <w:p>
      <w:r>
        <w:pict>
          <v:rect style="width:0;height:1.5pt" o:hralign="center" o:hrstd="t" o:hr="t"/>
        </w:pict>
      </w:r>
    </w:p>
    <w:bookmarkEnd w:id="32"/>
    <w:bookmarkStart w:id="33" w:name="financial-intelligence"/>
    <w:p>
      <w:pPr>
        <w:pStyle w:val="Heading2"/>
      </w:pPr>
      <w:r>
        <w:t xml:space="preserve">Financial Intelligence</w:t>
      </w:r>
    </w:p>
    <w:p>
      <w:pPr>
        <w:pStyle w:val="FirstParagraph"/>
      </w:pPr>
      <w:r>
        <w:t xml:space="preserve">Supports analysis of:</w:t>
      </w:r>
    </w:p>
    <w:p>
      <w:pPr>
        <w:pStyle w:val="Compact"/>
        <w:numPr>
          <w:ilvl w:val="0"/>
          <w:numId w:val="1008"/>
        </w:numPr>
      </w:pPr>
      <w:r>
        <w:t xml:space="preserve">Procurement investments.</w:t>
      </w:r>
    </w:p>
    <w:p>
      <w:pPr>
        <w:pStyle w:val="Compact"/>
        <w:numPr>
          <w:ilvl w:val="0"/>
          <w:numId w:val="1008"/>
        </w:numPr>
      </w:pPr>
      <w:r>
        <w:t xml:space="preserve">Asset replacement needs.</w:t>
      </w:r>
    </w:p>
    <w:p>
      <w:pPr>
        <w:pStyle w:val="Compact"/>
        <w:numPr>
          <w:ilvl w:val="0"/>
          <w:numId w:val="1008"/>
        </w:numPr>
      </w:pPr>
      <w:r>
        <w:t xml:space="preserve">Maintenance trends.</w:t>
      </w:r>
    </w:p>
    <w:p>
      <w:pPr>
        <w:pStyle w:val="Compact"/>
        <w:numPr>
          <w:ilvl w:val="0"/>
          <w:numId w:val="1008"/>
        </w:numPr>
      </w:pPr>
      <w:r>
        <w:t xml:space="preserve">Budget utilization.</w:t>
      </w:r>
    </w:p>
    <w:p>
      <w:pPr>
        <w:pStyle w:val="FirstParagraph"/>
      </w:pPr>
      <w:r>
        <w:t xml:space="preserve">Where financial information is integrated, access remains governed by institutional policies.</w:t>
      </w:r>
    </w:p>
    <w:p>
      <w:r>
        <w:pict>
          <v:rect style="width:0;height:1.5pt" o:hralign="center" o:hrstd="t" o:hr="t"/>
        </w:pict>
      </w:r>
    </w:p>
    <w:bookmarkEnd w:id="33"/>
    <w:bookmarkStart w:id="34" w:name="infrastructure-intelligence"/>
    <w:p>
      <w:pPr>
        <w:pStyle w:val="Heading2"/>
      </w:pPr>
      <w:r>
        <w:t xml:space="preserve">Infrastructure Intelligence</w:t>
      </w:r>
    </w:p>
    <w:p>
      <w:pPr>
        <w:pStyle w:val="FirstParagraph"/>
      </w:pPr>
      <w:r>
        <w:t xml:space="preserve">Provides visibility into:</w:t>
      </w:r>
    </w:p>
    <w:p>
      <w:pPr>
        <w:pStyle w:val="Compact"/>
        <w:numPr>
          <w:ilvl w:val="0"/>
          <w:numId w:val="1009"/>
        </w:numPr>
      </w:pPr>
      <w:r>
        <w:t xml:space="preserve">School facilities.</w:t>
      </w:r>
    </w:p>
    <w:p>
      <w:pPr>
        <w:pStyle w:val="Compact"/>
        <w:numPr>
          <w:ilvl w:val="0"/>
          <w:numId w:val="1009"/>
        </w:numPr>
      </w:pPr>
      <w:r>
        <w:t xml:space="preserve">Water systems.</w:t>
      </w:r>
    </w:p>
    <w:p>
      <w:pPr>
        <w:pStyle w:val="Compact"/>
        <w:numPr>
          <w:ilvl w:val="0"/>
          <w:numId w:val="1009"/>
        </w:numPr>
      </w:pPr>
      <w:r>
        <w:t xml:space="preserve">Sanitation.</w:t>
      </w:r>
    </w:p>
    <w:p>
      <w:pPr>
        <w:pStyle w:val="Compact"/>
        <w:numPr>
          <w:ilvl w:val="0"/>
          <w:numId w:val="1009"/>
        </w:numPr>
      </w:pPr>
      <w:r>
        <w:t xml:space="preserve">Energy infrastructure.</w:t>
      </w:r>
    </w:p>
    <w:p>
      <w:pPr>
        <w:pStyle w:val="Compact"/>
        <w:numPr>
          <w:ilvl w:val="0"/>
          <w:numId w:val="1009"/>
        </w:numPr>
      </w:pPr>
      <w:r>
        <w:t xml:space="preserve">ICT readiness.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arly-warning-system"/>
    <w:p>
      <w:pPr>
        <w:pStyle w:val="Heading1"/>
      </w:pPr>
      <w:r>
        <w:t xml:space="preserve">11.7 Early Warning System</w:t>
      </w:r>
    </w:p>
    <w:p>
      <w:pPr>
        <w:pStyle w:val="FirstParagraph"/>
      </w:pPr>
      <w:r>
        <w:t xml:space="preserve">The platform identifies operational situations requiring attention.</w:t>
      </w:r>
    </w:p>
    <w:p>
      <w:pPr>
        <w:pStyle w:val="BodyText"/>
      </w:pPr>
      <w:r>
        <w:t xml:space="preserve">Illustrative alerts include:</w:t>
      </w:r>
    </w:p>
    <w:p>
      <w:pPr>
        <w:pStyle w:val="Compact"/>
        <w:numPr>
          <w:ilvl w:val="0"/>
          <w:numId w:val="1010"/>
        </w:numPr>
      </w:pPr>
      <w:r>
        <w:t xml:space="preserve">Low textbook availability.</w:t>
      </w:r>
    </w:p>
    <w:p>
      <w:pPr>
        <w:pStyle w:val="Compact"/>
        <w:numPr>
          <w:ilvl w:val="0"/>
          <w:numId w:val="1010"/>
        </w:numPr>
      </w:pPr>
      <w:r>
        <w:t xml:space="preserve">Critical inventory shortages.</w:t>
      </w:r>
    </w:p>
    <w:p>
      <w:pPr>
        <w:pStyle w:val="Compact"/>
        <w:numPr>
          <w:ilvl w:val="0"/>
          <w:numId w:val="1010"/>
        </w:numPr>
      </w:pPr>
      <w:r>
        <w:t xml:space="preserve">Delayed deliveries.</w:t>
      </w:r>
    </w:p>
    <w:p>
      <w:pPr>
        <w:pStyle w:val="Compact"/>
        <w:numPr>
          <w:ilvl w:val="0"/>
          <w:numId w:val="1010"/>
        </w:numPr>
      </w:pPr>
      <w:r>
        <w:t xml:space="preserve">Outstanding inspection findings.</w:t>
      </w:r>
    </w:p>
    <w:p>
      <w:pPr>
        <w:pStyle w:val="Compact"/>
        <w:numPr>
          <w:ilvl w:val="0"/>
          <w:numId w:val="1010"/>
        </w:numPr>
      </w:pPr>
      <w:r>
        <w:t xml:space="preserve">Infrastructure incidents.</w:t>
      </w:r>
    </w:p>
    <w:p>
      <w:pPr>
        <w:pStyle w:val="Compact"/>
        <w:numPr>
          <w:ilvl w:val="0"/>
          <w:numId w:val="1010"/>
        </w:numPr>
      </w:pPr>
      <w:r>
        <w:t xml:space="preserve">Maintenance backlogs.</w:t>
      </w:r>
    </w:p>
    <w:p>
      <w:pPr>
        <w:pStyle w:val="Compact"/>
        <w:numPr>
          <w:ilvl w:val="0"/>
          <w:numId w:val="1010"/>
        </w:numPr>
      </w:pPr>
      <w:r>
        <w:t xml:space="preserve">Unusual inventory movements.</w:t>
      </w:r>
    </w:p>
    <w:p>
      <w:pPr>
        <w:pStyle w:val="FirstParagraph"/>
      </w:pPr>
      <w:r>
        <w:t xml:space="preserve">Alerts are prioritized according to configurable business rules.</w:t>
      </w:r>
    </w:p>
    <w:p>
      <w:r>
        <w:pict>
          <v:rect style="width:0;height:1.5pt" o:hralign="center" o:hrstd="t" o:hr="t"/>
        </w:pict>
      </w:r>
    </w:p>
    <w:bookmarkEnd w:id="36"/>
    <w:bookmarkStart w:id="37" w:name="artificial-intelligence-decision-support"/>
    <w:p>
      <w:pPr>
        <w:pStyle w:val="Heading1"/>
      </w:pPr>
      <w:r>
        <w:t xml:space="preserve">11.8 Artificial Intelligence Decision Support</w:t>
      </w:r>
    </w:p>
    <w:p>
      <w:pPr>
        <w:pStyle w:val="FirstParagraph"/>
      </w:pPr>
      <w:r>
        <w:t xml:space="preserve">Artificial Intelligence assists executive users by:</w:t>
      </w:r>
    </w:p>
    <w:p>
      <w:pPr>
        <w:pStyle w:val="Compact"/>
        <w:numPr>
          <w:ilvl w:val="0"/>
          <w:numId w:val="1011"/>
        </w:numPr>
      </w:pPr>
      <w:r>
        <w:t xml:space="preserve">Identifying operational trends.</w:t>
      </w:r>
    </w:p>
    <w:p>
      <w:pPr>
        <w:pStyle w:val="Compact"/>
        <w:numPr>
          <w:ilvl w:val="0"/>
          <w:numId w:val="1011"/>
        </w:numPr>
      </w:pPr>
      <w:r>
        <w:t xml:space="preserve">Forecasting textbook demand.</w:t>
      </w:r>
    </w:p>
    <w:p>
      <w:pPr>
        <w:pStyle w:val="Compact"/>
        <w:numPr>
          <w:ilvl w:val="0"/>
          <w:numId w:val="1011"/>
        </w:numPr>
      </w:pPr>
      <w:r>
        <w:t xml:space="preserve">Predicting replacement requirements.</w:t>
      </w:r>
    </w:p>
    <w:p>
      <w:pPr>
        <w:pStyle w:val="Compact"/>
        <w:numPr>
          <w:ilvl w:val="0"/>
          <w:numId w:val="1011"/>
        </w:numPr>
      </w:pPr>
      <w:r>
        <w:t xml:space="preserve">Highlighting schools requiring additional support.</w:t>
      </w:r>
    </w:p>
    <w:p>
      <w:pPr>
        <w:pStyle w:val="Compact"/>
        <w:numPr>
          <w:ilvl w:val="0"/>
          <w:numId w:val="1011"/>
        </w:numPr>
      </w:pPr>
      <w:r>
        <w:t xml:space="preserve">Detecting unusual operational patterns.</w:t>
      </w:r>
    </w:p>
    <w:p>
      <w:pPr>
        <w:pStyle w:val="Compact"/>
        <w:numPr>
          <w:ilvl w:val="0"/>
          <w:numId w:val="1011"/>
        </w:numPr>
      </w:pPr>
      <w:r>
        <w:t xml:space="preserve">Summarizing national performance.</w:t>
      </w:r>
    </w:p>
    <w:p>
      <w:pPr>
        <w:pStyle w:val="FirstParagraph"/>
      </w:pPr>
      <w:r>
        <w:t xml:space="preserve">AI recommendations are advisory and remain subject to review by authorized decision-makers.</w:t>
      </w:r>
    </w:p>
    <w:p>
      <w:r>
        <w:pict>
          <v:rect style="width:0;height:1.5pt" o:hralign="center" o:hrstd="t" o:hr="t"/>
        </w:pict>
      </w:r>
    </w:p>
    <w:bookmarkEnd w:id="37"/>
    <w:bookmarkStart w:id="38" w:name="national-analytics"/>
    <w:p>
      <w:pPr>
        <w:pStyle w:val="Heading1"/>
      </w:pPr>
      <w:r>
        <w:t xml:space="preserve">11.9 National Analytics</w:t>
      </w:r>
    </w:p>
    <w:p>
      <w:pPr>
        <w:pStyle w:val="FirstParagraph"/>
      </w:pPr>
      <w:r>
        <w:t xml:space="preserve">The platform provides:</w:t>
      </w:r>
    </w:p>
    <w:p>
      <w:pPr>
        <w:pStyle w:val="Compact"/>
        <w:numPr>
          <w:ilvl w:val="0"/>
          <w:numId w:val="1012"/>
        </w:numPr>
      </w:pPr>
      <w:r>
        <w:t xml:space="preserve">Historical trend analysis.</w:t>
      </w:r>
    </w:p>
    <w:p>
      <w:pPr>
        <w:pStyle w:val="Compact"/>
        <w:numPr>
          <w:ilvl w:val="0"/>
          <w:numId w:val="1012"/>
        </w:numPr>
      </w:pPr>
      <w:r>
        <w:t xml:space="preserve">Regional comparisons.</w:t>
      </w:r>
    </w:p>
    <w:p>
      <w:pPr>
        <w:pStyle w:val="Compact"/>
        <w:numPr>
          <w:ilvl w:val="0"/>
          <w:numId w:val="1012"/>
        </w:numPr>
      </w:pPr>
      <w:r>
        <w:t xml:space="preserve">Programme performance.</w:t>
      </w:r>
    </w:p>
    <w:p>
      <w:pPr>
        <w:pStyle w:val="Compact"/>
        <w:numPr>
          <w:ilvl w:val="0"/>
          <w:numId w:val="1012"/>
        </w:numPr>
      </w:pPr>
      <w:r>
        <w:t xml:space="preserve">Resource utilization.</w:t>
      </w:r>
    </w:p>
    <w:p>
      <w:pPr>
        <w:pStyle w:val="Compact"/>
        <w:numPr>
          <w:ilvl w:val="0"/>
          <w:numId w:val="1012"/>
        </w:numPr>
      </w:pPr>
      <w:r>
        <w:t xml:space="preserve">Distribution efficiency.</w:t>
      </w:r>
    </w:p>
    <w:p>
      <w:pPr>
        <w:pStyle w:val="Compact"/>
        <w:numPr>
          <w:ilvl w:val="0"/>
          <w:numId w:val="1012"/>
        </w:numPr>
      </w:pPr>
      <w:r>
        <w:t xml:space="preserve">Operational benchmarking.</w:t>
      </w:r>
    </w:p>
    <w:p>
      <w:pPr>
        <w:pStyle w:val="FirstParagraph"/>
      </w:pPr>
      <w:r>
        <w:t xml:space="preserve">These analytics support planning and policy evaluation.</w:t>
      </w:r>
    </w:p>
    <w:p>
      <w:r>
        <w:pict>
          <v:rect style="width:0;height:1.5pt" o:hralign="center" o:hrstd="t" o:hr="t"/>
        </w:pict>
      </w:r>
    </w:p>
    <w:bookmarkEnd w:id="38"/>
    <w:bookmarkStart w:id="45" w:name="functional-requirements"/>
    <w:p>
      <w:pPr>
        <w:pStyle w:val="Heading1"/>
      </w:pPr>
      <w:r>
        <w:t xml:space="preserve">11.10 Functional Requirements</w:t>
      </w:r>
    </w:p>
    <w:bookmarkStart w:id="39" w:name="fr-necc-001"/>
    <w:p>
      <w:pPr>
        <w:pStyle w:val="Heading3"/>
      </w:pPr>
      <w:r>
        <w:t xml:space="preserve">FR-NECC-001</w:t>
      </w:r>
    </w:p>
    <w:p>
      <w:pPr>
        <w:pStyle w:val="FirstParagraph"/>
      </w:pPr>
      <w:r>
        <w:t xml:space="preserve">Provide configurable executive dashboards.</w:t>
      </w:r>
    </w:p>
    <w:p>
      <w:r>
        <w:pict>
          <v:rect style="width:0;height:1.5pt" o:hralign="center" o:hrstd="t" o:hr="t"/>
        </w:pict>
      </w:r>
    </w:p>
    <w:bookmarkEnd w:id="39"/>
    <w:bookmarkStart w:id="40" w:name="fr-necc-002"/>
    <w:p>
      <w:pPr>
        <w:pStyle w:val="Heading3"/>
      </w:pPr>
      <w:r>
        <w:t xml:space="preserve">FR-NECC-002</w:t>
      </w:r>
    </w:p>
    <w:p>
      <w:pPr>
        <w:pStyle w:val="FirstParagraph"/>
      </w:pPr>
      <w:r>
        <w:t xml:space="preserve">Aggregate operational information from integrated modules.</w:t>
      </w:r>
    </w:p>
    <w:p>
      <w:r>
        <w:pict>
          <v:rect style="width:0;height:1.5pt" o:hralign="center" o:hrstd="t" o:hr="t"/>
        </w:pict>
      </w:r>
    </w:p>
    <w:bookmarkEnd w:id="40"/>
    <w:bookmarkStart w:id="41" w:name="fr-necc-003"/>
    <w:p>
      <w:pPr>
        <w:pStyle w:val="Heading3"/>
      </w:pPr>
      <w:r>
        <w:t xml:space="preserve">FR-NECC-003</w:t>
      </w:r>
    </w:p>
    <w:p>
      <w:pPr>
        <w:pStyle w:val="FirstParagraph"/>
      </w:pPr>
      <w:r>
        <w:t xml:space="preserve">Display interactive geographic visualizations.</w:t>
      </w:r>
    </w:p>
    <w:p>
      <w:r>
        <w:pict>
          <v:rect style="width:0;height:1.5pt" o:hralign="center" o:hrstd="t" o:hr="t"/>
        </w:pict>
      </w:r>
    </w:p>
    <w:bookmarkEnd w:id="41"/>
    <w:bookmarkStart w:id="42" w:name="fr-necc-004"/>
    <w:p>
      <w:pPr>
        <w:pStyle w:val="Heading3"/>
      </w:pPr>
      <w:r>
        <w:t xml:space="preserve">FR-NECC-004</w:t>
      </w:r>
    </w:p>
    <w:p>
      <w:pPr>
        <w:pStyle w:val="FirstParagraph"/>
      </w:pPr>
      <w:r>
        <w:t xml:space="preserve">Generate executive reports and performance summaries.</w:t>
      </w:r>
    </w:p>
    <w:p>
      <w:r>
        <w:pict>
          <v:rect style="width:0;height:1.5pt" o:hralign="center" o:hrstd="t" o:hr="t"/>
        </w:pict>
      </w:r>
    </w:p>
    <w:bookmarkEnd w:id="42"/>
    <w:bookmarkStart w:id="43" w:name="fr-necc-005"/>
    <w:p>
      <w:pPr>
        <w:pStyle w:val="Heading3"/>
      </w:pPr>
      <w:r>
        <w:t xml:space="preserve">FR-NECC-005</w:t>
      </w:r>
    </w:p>
    <w:p>
      <w:pPr>
        <w:pStyle w:val="FirstParagraph"/>
      </w:pPr>
      <w:r>
        <w:t xml:space="preserve">Support configurable alerts and notifications.</w:t>
      </w:r>
    </w:p>
    <w:p>
      <w:r>
        <w:pict>
          <v:rect style="width:0;height:1.5pt" o:hralign="center" o:hrstd="t" o:hr="t"/>
        </w:pict>
      </w:r>
    </w:p>
    <w:bookmarkEnd w:id="43"/>
    <w:bookmarkStart w:id="44" w:name="fr-necc-006"/>
    <w:p>
      <w:pPr>
        <w:pStyle w:val="Heading3"/>
      </w:pPr>
      <w:r>
        <w:t xml:space="preserve">FR-NECC-006</w:t>
      </w:r>
    </w:p>
    <w:p>
      <w:pPr>
        <w:pStyle w:val="FirstParagraph"/>
      </w:pPr>
      <w:r>
        <w:t xml:space="preserve">Provide secure role-based access for authorized executive users.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key-performance-indicators"/>
    <w:p>
      <w:pPr>
        <w:pStyle w:val="Heading1"/>
      </w:pPr>
      <w:r>
        <w:t xml:space="preserve">11.11 Key Performance Indicators</w:t>
      </w:r>
    </w:p>
    <w:p>
      <w:pPr>
        <w:pStyle w:val="FirstParagraph"/>
      </w:pPr>
      <w:r>
        <w:t xml:space="preserve">Illustrative indicators include:</w:t>
      </w:r>
    </w:p>
    <w:p>
      <w:pPr>
        <w:pStyle w:val="Compact"/>
        <w:numPr>
          <w:ilvl w:val="0"/>
          <w:numId w:val="1013"/>
        </w:numPr>
      </w:pPr>
      <w:r>
        <w:t xml:space="preserve">National textbook availability.</w:t>
      </w:r>
    </w:p>
    <w:p>
      <w:pPr>
        <w:pStyle w:val="Compact"/>
        <w:numPr>
          <w:ilvl w:val="0"/>
          <w:numId w:val="1013"/>
        </w:numPr>
      </w:pPr>
      <w:r>
        <w:t xml:space="preserve">Distribution completion rate.</w:t>
      </w:r>
    </w:p>
    <w:p>
      <w:pPr>
        <w:pStyle w:val="Compact"/>
        <w:numPr>
          <w:ilvl w:val="0"/>
          <w:numId w:val="1013"/>
        </w:numPr>
      </w:pPr>
      <w:r>
        <w:t xml:space="preserve">Inventory accuracy.</w:t>
      </w:r>
    </w:p>
    <w:p>
      <w:pPr>
        <w:pStyle w:val="Compact"/>
        <w:numPr>
          <w:ilvl w:val="0"/>
          <w:numId w:val="1013"/>
        </w:numPr>
      </w:pPr>
      <w:r>
        <w:t xml:space="preserve">Inspection coverage.</w:t>
      </w:r>
    </w:p>
    <w:p>
      <w:pPr>
        <w:pStyle w:val="Compact"/>
        <w:numPr>
          <w:ilvl w:val="0"/>
          <w:numId w:val="1013"/>
        </w:numPr>
      </w:pPr>
      <w:r>
        <w:t xml:space="preserve">Corrective action closure rate.</w:t>
      </w:r>
    </w:p>
    <w:p>
      <w:pPr>
        <w:pStyle w:val="Compact"/>
        <w:numPr>
          <w:ilvl w:val="0"/>
          <w:numId w:val="1013"/>
        </w:numPr>
      </w:pPr>
      <w:r>
        <w:t xml:space="preserve">Asset registration coverage.</w:t>
      </w:r>
    </w:p>
    <w:p>
      <w:pPr>
        <w:pStyle w:val="Compact"/>
        <w:numPr>
          <w:ilvl w:val="0"/>
          <w:numId w:val="1013"/>
        </w:numPr>
      </w:pPr>
      <w:r>
        <w:t xml:space="preserve">School reporting compliance.</w:t>
      </w:r>
    </w:p>
    <w:p>
      <w:pPr>
        <w:pStyle w:val="Compact"/>
        <w:numPr>
          <w:ilvl w:val="0"/>
          <w:numId w:val="1013"/>
        </w:numPr>
      </w:pPr>
      <w:r>
        <w:t xml:space="preserve">Dashboard utilization.</w:t>
      </w:r>
    </w:p>
    <w:p>
      <w:r>
        <w:pict>
          <v:rect style="width:0;height:1.5pt" o:hralign="center" o:hrstd="t" o:hr="t"/>
        </w:pict>
      </w:r>
    </w:p>
    <w:bookmarkEnd w:id="46"/>
    <w:bookmarkStart w:id="47" w:name="expected-benefits"/>
    <w:p>
      <w:pPr>
        <w:pStyle w:val="Heading1"/>
      </w:pPr>
      <w:r>
        <w:t xml:space="preserve">11.12 Expected Benefits</w:t>
      </w:r>
    </w:p>
    <w:p>
      <w:pPr>
        <w:pStyle w:val="FirstParagraph"/>
      </w:pPr>
      <w:r>
        <w:t xml:space="preserve">The National Education Command Centre is expected to contribute to:</w:t>
      </w:r>
    </w:p>
    <w:p>
      <w:pPr>
        <w:pStyle w:val="Compact"/>
        <w:numPr>
          <w:ilvl w:val="0"/>
          <w:numId w:val="1014"/>
        </w:numPr>
      </w:pPr>
      <w:r>
        <w:t xml:space="preserve">Faster access to operational information.</w:t>
      </w:r>
    </w:p>
    <w:p>
      <w:pPr>
        <w:pStyle w:val="Compact"/>
        <w:numPr>
          <w:ilvl w:val="0"/>
          <w:numId w:val="1014"/>
        </w:numPr>
      </w:pPr>
      <w:r>
        <w:t xml:space="preserve">Better coordination across administrative levels.</w:t>
      </w:r>
    </w:p>
    <w:p>
      <w:pPr>
        <w:pStyle w:val="Compact"/>
        <w:numPr>
          <w:ilvl w:val="0"/>
          <w:numId w:val="1014"/>
        </w:numPr>
      </w:pPr>
      <w:r>
        <w:t xml:space="preserve">Improved planning and forecasting.</w:t>
      </w:r>
    </w:p>
    <w:p>
      <w:pPr>
        <w:pStyle w:val="Compact"/>
        <w:numPr>
          <w:ilvl w:val="0"/>
          <w:numId w:val="1014"/>
        </w:numPr>
      </w:pPr>
      <w:r>
        <w:t xml:space="preserve">Enhanced monitoring.</w:t>
      </w:r>
    </w:p>
    <w:p>
      <w:pPr>
        <w:pStyle w:val="Compact"/>
        <w:numPr>
          <w:ilvl w:val="0"/>
          <w:numId w:val="1014"/>
        </w:numPr>
      </w:pPr>
      <w:r>
        <w:t xml:space="preserve">More efficient resource allocation.</w:t>
      </w:r>
    </w:p>
    <w:p>
      <w:pPr>
        <w:pStyle w:val="Compact"/>
        <w:numPr>
          <w:ilvl w:val="0"/>
          <w:numId w:val="1014"/>
        </w:numPr>
      </w:pPr>
      <w:r>
        <w:t xml:space="preserve">Stronger accountability.</w:t>
      </w:r>
    </w:p>
    <w:p>
      <w:pPr>
        <w:pStyle w:val="Compact"/>
        <w:numPr>
          <w:ilvl w:val="0"/>
          <w:numId w:val="1014"/>
        </w:numPr>
      </w:pPr>
      <w:r>
        <w:t xml:space="preserve">Improved evidence for strategic decisions.</w:t>
      </w:r>
    </w:p>
    <w:p>
      <w:pPr>
        <w:pStyle w:val="FirstParagraph"/>
      </w:pPr>
      <w:r>
        <w:t xml:space="preserve">These benefits depend on effective governance, data quality, interoperability, and user adoption.</w:t>
      </w:r>
    </w:p>
    <w:p>
      <w:r>
        <w:pict>
          <v:rect style="width:0;height:1.5pt" o:hralign="center" o:hrstd="t" o:hr="t"/>
        </w:pict>
      </w:r>
    </w:p>
    <w:bookmarkEnd w:id="47"/>
    <w:bookmarkStart w:id="48" w:name="chapter-summary"/>
    <w:p>
      <w:pPr>
        <w:pStyle w:val="Heading1"/>
      </w:pPr>
      <w:r>
        <w:t xml:space="preserve">11.13 Chapter Summary</w:t>
      </w:r>
    </w:p>
    <w:p>
      <w:pPr>
        <w:pStyle w:val="FirstParagraph"/>
      </w:pPr>
      <w:r>
        <w:t xml:space="preserve">The National Education Command Centre is the strategic intelligence hub of EduOS Cameroon.</w:t>
      </w:r>
    </w:p>
    <w:p>
      <w:pPr>
        <w:pStyle w:val="BodyText"/>
      </w:pPr>
      <w:r>
        <w:t xml:space="preserve">By integrating operational data from schools, warehouses, distribution networks, inspections, asset management, and analytics into a single executive platform, it enables education leaders to monitor performance, identify emerging challenges, and support evidence-based policy implementation.</w:t>
      </w:r>
    </w:p>
    <w:p>
      <w:pPr>
        <w:pStyle w:val="BodyText"/>
      </w:pPr>
      <w:r>
        <w:t xml:space="preserve">Rather than relying primarily on periodic reports, decision-makers gain continuous visibility into the operational health of the education system, strengthening transparency, coordination, and long-term planning.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2026-07-10T14:19:11Z</dcterms:created>
  <dcterms:modified xsi:type="dcterms:W3CDTF">2026-07-10T14:19:11Z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