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0"/>
    <w:p>
      <w:pPr>
        <w:pStyle w:val="Heading1"/>
      </w:pPr>
      <w:r>
        <w:t xml:space="preserve">CHAPTER 20</w:t>
      </w:r>
    </w:p>
    <w:bookmarkEnd w:id="20"/>
    <w:bookmarkStart w:id="22" w:name="X722bc8dac9fedb6447bc7974ec7f391e2bb7bcd"/>
    <w:p>
      <w:pPr>
        <w:pStyle w:val="Heading1"/>
      </w:pPr>
      <w:r>
        <w:t xml:space="preserve">NATIONAL MICROSERVICES, PLATFORM ENGINEERING AND DIGITAL SERVICES FRAMEWORK</w:t>
      </w:r>
    </w:p>
    <w:bookmarkStart w:id="21" w:name="introduction"/>
    <w:p>
      <w:pPr>
        <w:pStyle w:val="Heading2"/>
      </w:pPr>
      <w:r>
        <w:t xml:space="preserve">20.1 Introduction</w:t>
      </w:r>
    </w:p>
    <w:p>
      <w:pPr>
        <w:pStyle w:val="FirstParagraph"/>
      </w:pPr>
      <w:r>
        <w:t xml:space="preserve">As national education systems expand, software platforms must evolve continuously to accommodate new programmes, changing policies, increasing transaction volumes, and emerging technologies.</w:t>
      </w:r>
    </w:p>
    <w:p>
      <w:pPr>
        <w:pStyle w:val="BodyText"/>
      </w:pPr>
      <w:r>
        <w:t xml:space="preserve">Large monolithic applications often become difficult to maintain, upgrade, and scale because changes in one functional area may affect unrelated parts of the system.</w:t>
      </w:r>
    </w:p>
    <w:p>
      <w:pPr>
        <w:pStyle w:val="BodyText"/>
      </w:pPr>
      <w:r>
        <w:t xml:space="preserve">EduOS Cameroon adopts a modular platform engineering approach in which major business capabilities are implemented as independent digital services (microservices) that communicate through secure, standardized interfaces.</w:t>
      </w:r>
    </w:p>
    <w:p>
      <w:pPr>
        <w:pStyle w:val="BodyText"/>
      </w:pPr>
      <w:r>
        <w:t xml:space="preserve">This architecture enables continuous improvement while minimizing operational disruption and supporting long-term sustainability.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20.2 Vision</w:t>
      </w:r>
    </w:p>
    <w:p>
      <w:pPr>
        <w:pStyle w:val="FirstParagraph"/>
      </w:pPr>
      <w:r>
        <w:t xml:space="preserve">To establish a resilient, modular digital services platform that enables rapid innovation, independent deployment, operational resilience, and efficient lifecycle management across Cameroon’s education ecosystem.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20.3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Improve software maintainability.</w:t>
      </w:r>
    </w:p>
    <w:p>
      <w:pPr>
        <w:pStyle w:val="Compact"/>
        <w:numPr>
          <w:ilvl w:val="0"/>
          <w:numId w:val="1001"/>
        </w:numPr>
      </w:pPr>
      <w:r>
        <w:t xml:space="preserve">Enable independent module deployment.</w:t>
      </w:r>
    </w:p>
    <w:p>
      <w:pPr>
        <w:pStyle w:val="Compact"/>
        <w:numPr>
          <w:ilvl w:val="0"/>
          <w:numId w:val="1001"/>
        </w:numPr>
      </w:pPr>
      <w:r>
        <w:t xml:space="preserve">Improve system resilience.</w:t>
      </w:r>
    </w:p>
    <w:p>
      <w:pPr>
        <w:pStyle w:val="Compact"/>
        <w:numPr>
          <w:ilvl w:val="0"/>
          <w:numId w:val="1001"/>
        </w:numPr>
      </w:pPr>
      <w:r>
        <w:t xml:space="preserve">Accelerate feature delivery.</w:t>
      </w:r>
    </w:p>
    <w:p>
      <w:pPr>
        <w:pStyle w:val="Compact"/>
        <w:numPr>
          <w:ilvl w:val="0"/>
          <w:numId w:val="1001"/>
        </w:numPr>
      </w:pPr>
      <w:r>
        <w:t xml:space="preserve">Simplify testing and maintenance.</w:t>
      </w:r>
    </w:p>
    <w:p>
      <w:pPr>
        <w:pStyle w:val="Compact"/>
        <w:numPr>
          <w:ilvl w:val="0"/>
          <w:numId w:val="1001"/>
        </w:numPr>
      </w:pPr>
      <w:r>
        <w:t xml:space="preserve">Support continuous innovation.</w:t>
      </w:r>
    </w:p>
    <w:p>
      <w:pPr>
        <w:pStyle w:val="Compact"/>
        <w:numPr>
          <w:ilvl w:val="0"/>
          <w:numId w:val="1001"/>
        </w:numPr>
      </w:pPr>
      <w:r>
        <w:t xml:space="preserve">Improve scalability.</w:t>
      </w:r>
    </w:p>
    <w:p>
      <w:pPr>
        <w:pStyle w:val="Compact"/>
        <w:numPr>
          <w:ilvl w:val="0"/>
          <w:numId w:val="1001"/>
        </w:numPr>
      </w:pPr>
      <w:r>
        <w:t xml:space="preserve">Reduce operational risk.</w:t>
      </w:r>
    </w:p>
    <w:p>
      <w:r>
        <w:pict>
          <v:rect style="width:0;height:1.5pt" o:hralign="center" o:hrstd="t" o:hr="t"/>
        </w:pict>
      </w:r>
    </w:p>
    <w:bookmarkEnd w:id="24"/>
    <w:bookmarkStart w:id="25" w:name="microservices-philosophy"/>
    <w:p>
      <w:pPr>
        <w:pStyle w:val="Heading1"/>
      </w:pPr>
      <w:r>
        <w:t xml:space="preserve">20.4 Microservices Philosophy</w:t>
      </w:r>
    </w:p>
    <w:p>
      <w:pPr>
        <w:pStyle w:val="FirstParagraph"/>
      </w:pPr>
      <w:r>
        <w:t xml:space="preserve">Each service should:</w:t>
      </w:r>
    </w:p>
    <w:p>
      <w:pPr>
        <w:pStyle w:val="Compact"/>
        <w:numPr>
          <w:ilvl w:val="0"/>
          <w:numId w:val="1002"/>
        </w:numPr>
      </w:pPr>
      <w:r>
        <w:t xml:space="preserve">Perform one well-defined business function.</w:t>
      </w:r>
    </w:p>
    <w:p>
      <w:pPr>
        <w:pStyle w:val="Compact"/>
        <w:numPr>
          <w:ilvl w:val="0"/>
          <w:numId w:val="1002"/>
        </w:numPr>
      </w:pPr>
      <w:r>
        <w:t xml:space="preserve">Own its operational data.</w:t>
      </w:r>
    </w:p>
    <w:p>
      <w:pPr>
        <w:pStyle w:val="Compact"/>
        <w:numPr>
          <w:ilvl w:val="0"/>
          <w:numId w:val="1002"/>
        </w:numPr>
      </w:pPr>
      <w:r>
        <w:t xml:space="preserve">Expose secure APIs.</w:t>
      </w:r>
    </w:p>
    <w:p>
      <w:pPr>
        <w:pStyle w:val="Compact"/>
        <w:numPr>
          <w:ilvl w:val="0"/>
          <w:numId w:val="1002"/>
        </w:numPr>
      </w:pPr>
      <w:r>
        <w:t xml:space="preserve">Be independently deployable.</w:t>
      </w:r>
    </w:p>
    <w:p>
      <w:pPr>
        <w:pStyle w:val="Compact"/>
        <w:numPr>
          <w:ilvl w:val="0"/>
          <w:numId w:val="1002"/>
        </w:numPr>
      </w:pPr>
      <w:r>
        <w:t xml:space="preserve">Be independently scalable.</w:t>
      </w:r>
    </w:p>
    <w:p>
      <w:pPr>
        <w:pStyle w:val="Compact"/>
        <w:numPr>
          <w:ilvl w:val="0"/>
          <w:numId w:val="1002"/>
        </w:numPr>
      </w:pPr>
      <w:r>
        <w:t xml:space="preserve">Be independently monitored.</w:t>
      </w:r>
    </w:p>
    <w:p>
      <w:pPr>
        <w:pStyle w:val="FirstParagraph"/>
      </w:pPr>
      <w:r>
        <w:t xml:space="preserve">Services communicate through governed APIs and messaging mechanisms rather than direct database access.</w:t>
      </w:r>
    </w:p>
    <w:p>
      <w:r>
        <w:pict>
          <v:rect style="width:0;height:1.5pt" o:hralign="center" o:hrstd="t" o:hr="t"/>
        </w:pict>
      </w:r>
    </w:p>
    <w:bookmarkEnd w:id="25"/>
    <w:bookmarkStart w:id="38" w:name="core-digital-services"/>
    <w:p>
      <w:pPr>
        <w:pStyle w:val="Heading1"/>
      </w:pPr>
      <w:r>
        <w:t xml:space="preserve">20.5 Core Digital Services</w:t>
      </w:r>
    </w:p>
    <w:p>
      <w:pPr>
        <w:pStyle w:val="FirstParagraph"/>
      </w:pPr>
      <w:r>
        <w:t xml:space="preserve">Illustrative services include:</w:t>
      </w:r>
    </w:p>
    <w:bookmarkStart w:id="26" w:name="identity-service"/>
    <w:p>
      <w:pPr>
        <w:pStyle w:val="Heading3"/>
      </w:pPr>
      <w:r>
        <w:t xml:space="preserve">Identity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Authentication.</w:t>
      </w:r>
    </w:p>
    <w:p>
      <w:pPr>
        <w:pStyle w:val="Compact"/>
        <w:numPr>
          <w:ilvl w:val="0"/>
          <w:numId w:val="1003"/>
        </w:numPr>
      </w:pPr>
      <w:r>
        <w:t xml:space="preserve">User identities.</w:t>
      </w:r>
    </w:p>
    <w:p>
      <w:pPr>
        <w:pStyle w:val="Compact"/>
        <w:numPr>
          <w:ilvl w:val="0"/>
          <w:numId w:val="1003"/>
        </w:numPr>
      </w:pPr>
      <w:r>
        <w:t xml:space="preserve">Roles.</w:t>
      </w:r>
    </w:p>
    <w:p>
      <w:pPr>
        <w:pStyle w:val="Compact"/>
        <w:numPr>
          <w:ilvl w:val="0"/>
          <w:numId w:val="1003"/>
        </w:numPr>
      </w:pPr>
      <w:r>
        <w:t xml:space="preserve">Permissions.</w:t>
      </w:r>
    </w:p>
    <w:p>
      <w:r>
        <w:pict>
          <v:rect style="width:0;height:1.5pt" o:hralign="center" o:hrstd="t" o:hr="t"/>
        </w:pict>
      </w:r>
    </w:p>
    <w:bookmarkEnd w:id="26"/>
    <w:bookmarkStart w:id="27" w:name="school-service"/>
    <w:p>
      <w:pPr>
        <w:pStyle w:val="Heading3"/>
      </w:pPr>
      <w:r>
        <w:t xml:space="preserve">School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School registry.</w:t>
      </w:r>
    </w:p>
    <w:p>
      <w:pPr>
        <w:pStyle w:val="Compact"/>
        <w:numPr>
          <w:ilvl w:val="0"/>
          <w:numId w:val="1004"/>
        </w:numPr>
      </w:pPr>
      <w:r>
        <w:t xml:space="preserve">School profiles.</w:t>
      </w:r>
    </w:p>
    <w:p>
      <w:pPr>
        <w:pStyle w:val="Compact"/>
        <w:numPr>
          <w:ilvl w:val="0"/>
          <w:numId w:val="1004"/>
        </w:numPr>
      </w:pPr>
      <w:r>
        <w:t xml:space="preserve">Administrative information.</w:t>
      </w:r>
    </w:p>
    <w:p>
      <w:r>
        <w:pict>
          <v:rect style="width:0;height:1.5pt" o:hralign="center" o:hrstd="t" o:hr="t"/>
        </w:pict>
      </w:r>
    </w:p>
    <w:bookmarkEnd w:id="27"/>
    <w:bookmarkStart w:id="28" w:name="student-service"/>
    <w:p>
      <w:pPr>
        <w:pStyle w:val="Heading3"/>
      </w:pPr>
      <w:r>
        <w:t xml:space="preserve">Student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Student registration.</w:t>
      </w:r>
    </w:p>
    <w:p>
      <w:pPr>
        <w:pStyle w:val="Compact"/>
        <w:numPr>
          <w:ilvl w:val="0"/>
          <w:numId w:val="1005"/>
        </w:numPr>
      </w:pPr>
      <w:r>
        <w:t xml:space="preserve">Academic profiles.</w:t>
      </w:r>
    </w:p>
    <w:p>
      <w:pPr>
        <w:pStyle w:val="Compact"/>
        <w:numPr>
          <w:ilvl w:val="0"/>
          <w:numId w:val="1005"/>
        </w:numPr>
      </w:pPr>
      <w:r>
        <w:t xml:space="preserve">Student lifecycle.</w:t>
      </w:r>
    </w:p>
    <w:p>
      <w:r>
        <w:pict>
          <v:rect style="width:0;height:1.5pt" o:hralign="center" o:hrstd="t" o:hr="t"/>
        </w:pict>
      </w:r>
    </w:p>
    <w:bookmarkEnd w:id="28"/>
    <w:bookmarkStart w:id="29" w:name="teacher-service"/>
    <w:p>
      <w:pPr>
        <w:pStyle w:val="Heading3"/>
      </w:pPr>
      <w:r>
        <w:t xml:space="preserve">Teacher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6"/>
        </w:numPr>
      </w:pPr>
      <w:r>
        <w:t xml:space="preserve">Teacher registry.</w:t>
      </w:r>
    </w:p>
    <w:p>
      <w:pPr>
        <w:pStyle w:val="Compact"/>
        <w:numPr>
          <w:ilvl w:val="0"/>
          <w:numId w:val="1006"/>
        </w:numPr>
      </w:pPr>
      <w:r>
        <w:t xml:space="preserve">Professional assignments.</w:t>
      </w:r>
    </w:p>
    <w:p>
      <w:pPr>
        <w:pStyle w:val="Compact"/>
        <w:numPr>
          <w:ilvl w:val="0"/>
          <w:numId w:val="1006"/>
        </w:numPr>
      </w:pPr>
      <w:r>
        <w:t xml:space="preserve">Workforce information.</w:t>
      </w:r>
    </w:p>
    <w:p>
      <w:r>
        <w:pict>
          <v:rect style="width:0;height:1.5pt" o:hralign="center" o:hrstd="t" o:hr="t"/>
        </w:pict>
      </w:r>
    </w:p>
    <w:bookmarkEnd w:id="29"/>
    <w:bookmarkStart w:id="30" w:name="textbook-service"/>
    <w:p>
      <w:pPr>
        <w:pStyle w:val="Heading3"/>
      </w:pPr>
      <w:r>
        <w:t xml:space="preserve">Textbook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7"/>
        </w:numPr>
      </w:pPr>
      <w:r>
        <w:t xml:space="preserve">Textbook catalogue.</w:t>
      </w:r>
    </w:p>
    <w:p>
      <w:pPr>
        <w:pStyle w:val="Compact"/>
        <w:numPr>
          <w:ilvl w:val="0"/>
          <w:numId w:val="1007"/>
        </w:numPr>
      </w:pPr>
      <w:r>
        <w:t xml:space="preserve">Distribution records.</w:t>
      </w:r>
    </w:p>
    <w:p>
      <w:pPr>
        <w:pStyle w:val="Compact"/>
        <w:numPr>
          <w:ilvl w:val="0"/>
          <w:numId w:val="1007"/>
        </w:numPr>
      </w:pPr>
      <w:r>
        <w:t xml:space="preserve">Digital Textbook Passports.</w:t>
      </w:r>
    </w:p>
    <w:p>
      <w:r>
        <w:pict>
          <v:rect style="width:0;height:1.5pt" o:hralign="center" o:hrstd="t" o:hr="t"/>
        </w:pict>
      </w:r>
    </w:p>
    <w:bookmarkEnd w:id="30"/>
    <w:bookmarkStart w:id="31" w:name="asset-service"/>
    <w:p>
      <w:pPr>
        <w:pStyle w:val="Heading3"/>
      </w:pPr>
      <w:r>
        <w:t xml:space="preserve">Asset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Digital Asset Passports.</w:t>
      </w:r>
    </w:p>
    <w:p>
      <w:pPr>
        <w:pStyle w:val="Compact"/>
        <w:numPr>
          <w:ilvl w:val="0"/>
          <w:numId w:val="1008"/>
        </w:numPr>
      </w:pPr>
      <w:r>
        <w:t xml:space="preserve">Asset inventories.</w:t>
      </w:r>
    </w:p>
    <w:p>
      <w:pPr>
        <w:pStyle w:val="Compact"/>
        <w:numPr>
          <w:ilvl w:val="0"/>
          <w:numId w:val="1008"/>
        </w:numPr>
      </w:pPr>
      <w:r>
        <w:t xml:space="preserve">Maintenance records.</w:t>
      </w:r>
    </w:p>
    <w:p>
      <w:r>
        <w:pict>
          <v:rect style="width:0;height:1.5pt" o:hralign="center" o:hrstd="t" o:hr="t"/>
        </w:pict>
      </w:r>
    </w:p>
    <w:bookmarkEnd w:id="31"/>
    <w:bookmarkStart w:id="32" w:name="warehouse-service"/>
    <w:p>
      <w:pPr>
        <w:pStyle w:val="Heading3"/>
      </w:pPr>
      <w:r>
        <w:t xml:space="preserve">Warehouse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9"/>
        </w:numPr>
      </w:pPr>
      <w:r>
        <w:t xml:space="preserve">Inventory.</w:t>
      </w:r>
    </w:p>
    <w:p>
      <w:pPr>
        <w:pStyle w:val="Compact"/>
        <w:numPr>
          <w:ilvl w:val="0"/>
          <w:numId w:val="1009"/>
        </w:numPr>
      </w:pPr>
      <w:r>
        <w:t xml:space="preserve">Storage.</w:t>
      </w:r>
    </w:p>
    <w:p>
      <w:pPr>
        <w:pStyle w:val="Compact"/>
        <w:numPr>
          <w:ilvl w:val="0"/>
          <w:numId w:val="1009"/>
        </w:numPr>
      </w:pPr>
      <w:r>
        <w:t xml:space="preserve">Dispatch preparation.</w:t>
      </w:r>
    </w:p>
    <w:p>
      <w:r>
        <w:pict>
          <v:rect style="width:0;height:1.5pt" o:hralign="center" o:hrstd="t" o:hr="t"/>
        </w:pict>
      </w:r>
    </w:p>
    <w:bookmarkEnd w:id="32"/>
    <w:bookmarkStart w:id="33" w:name="logistics-service"/>
    <w:p>
      <w:pPr>
        <w:pStyle w:val="Heading3"/>
      </w:pPr>
      <w:r>
        <w:t xml:space="preserve">Logistics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0"/>
        </w:numPr>
      </w:pPr>
      <w:r>
        <w:t xml:space="preserve">Distribution planning.</w:t>
      </w:r>
    </w:p>
    <w:p>
      <w:pPr>
        <w:pStyle w:val="Compact"/>
        <w:numPr>
          <w:ilvl w:val="0"/>
          <w:numId w:val="1010"/>
        </w:numPr>
      </w:pPr>
      <w:r>
        <w:t xml:space="preserve">Shipment tracking.</w:t>
      </w:r>
    </w:p>
    <w:p>
      <w:pPr>
        <w:pStyle w:val="Compact"/>
        <w:numPr>
          <w:ilvl w:val="0"/>
          <w:numId w:val="1010"/>
        </w:numPr>
      </w:pPr>
      <w:r>
        <w:t xml:space="preserve">Delivery confirmation.</w:t>
      </w:r>
    </w:p>
    <w:p>
      <w:r>
        <w:pict>
          <v:rect style="width:0;height:1.5pt" o:hralign="center" o:hrstd="t" o:hr="t"/>
        </w:pict>
      </w:r>
    </w:p>
    <w:bookmarkEnd w:id="33"/>
    <w:bookmarkStart w:id="34" w:name="inspection-service"/>
    <w:p>
      <w:pPr>
        <w:pStyle w:val="Heading3"/>
      </w:pPr>
      <w:r>
        <w:t xml:space="preserve">Inspection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1"/>
        </w:numPr>
      </w:pPr>
      <w:r>
        <w:t xml:space="preserve">Inspection scheduling.</w:t>
      </w:r>
    </w:p>
    <w:p>
      <w:pPr>
        <w:pStyle w:val="Compact"/>
        <w:numPr>
          <w:ilvl w:val="0"/>
          <w:numId w:val="1011"/>
        </w:numPr>
      </w:pPr>
      <w:r>
        <w:t xml:space="preserve">Findings.</w:t>
      </w:r>
    </w:p>
    <w:p>
      <w:pPr>
        <w:pStyle w:val="Compact"/>
        <w:numPr>
          <w:ilvl w:val="0"/>
          <w:numId w:val="1011"/>
        </w:numPr>
      </w:pPr>
      <w:r>
        <w:t xml:space="preserve">Corrective actions.</w:t>
      </w:r>
    </w:p>
    <w:p>
      <w:r>
        <w:pict>
          <v:rect style="width:0;height:1.5pt" o:hralign="center" o:hrstd="t" o:hr="t"/>
        </w:pict>
      </w:r>
    </w:p>
    <w:bookmarkEnd w:id="34"/>
    <w:bookmarkStart w:id="35" w:name="analytics-service"/>
    <w:p>
      <w:pPr>
        <w:pStyle w:val="Heading3"/>
      </w:pPr>
      <w:r>
        <w:t xml:space="preserve">Analytics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2"/>
        </w:numPr>
      </w:pPr>
      <w:r>
        <w:t xml:space="preserve">Dashboards.</w:t>
      </w:r>
    </w:p>
    <w:p>
      <w:pPr>
        <w:pStyle w:val="Compact"/>
        <w:numPr>
          <w:ilvl w:val="0"/>
          <w:numId w:val="1012"/>
        </w:numPr>
      </w:pPr>
      <w:r>
        <w:t xml:space="preserve">Forecasts.</w:t>
      </w:r>
    </w:p>
    <w:p>
      <w:pPr>
        <w:pStyle w:val="Compact"/>
        <w:numPr>
          <w:ilvl w:val="0"/>
          <w:numId w:val="1012"/>
        </w:numPr>
      </w:pPr>
      <w:r>
        <w:t xml:space="preserve">Executive reports.</w:t>
      </w:r>
    </w:p>
    <w:p>
      <w:pPr>
        <w:pStyle w:val="Compact"/>
        <w:numPr>
          <w:ilvl w:val="0"/>
          <w:numId w:val="1012"/>
        </w:numPr>
      </w:pPr>
      <w:r>
        <w:t xml:space="preserve">AI data preparation.</w:t>
      </w:r>
    </w:p>
    <w:p>
      <w:r>
        <w:pict>
          <v:rect style="width:0;height:1.5pt" o:hralign="center" o:hrstd="t" o:hr="t"/>
        </w:pict>
      </w:r>
    </w:p>
    <w:bookmarkEnd w:id="35"/>
    <w:bookmarkStart w:id="36" w:name="notification-service"/>
    <w:p>
      <w:pPr>
        <w:pStyle w:val="Heading3"/>
      </w:pPr>
      <w:r>
        <w:t xml:space="preserve">Notification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3"/>
        </w:numPr>
      </w:pPr>
      <w:r>
        <w:t xml:space="preserve">Email.</w:t>
      </w:r>
    </w:p>
    <w:p>
      <w:pPr>
        <w:pStyle w:val="Compact"/>
        <w:numPr>
          <w:ilvl w:val="0"/>
          <w:numId w:val="1013"/>
        </w:numPr>
      </w:pPr>
      <w:r>
        <w:t xml:space="preserve">SMS.</w:t>
      </w:r>
    </w:p>
    <w:p>
      <w:pPr>
        <w:pStyle w:val="Compact"/>
        <w:numPr>
          <w:ilvl w:val="0"/>
          <w:numId w:val="1013"/>
        </w:numPr>
      </w:pPr>
      <w:r>
        <w:t xml:space="preserve">Push notifications.</w:t>
      </w:r>
    </w:p>
    <w:p>
      <w:pPr>
        <w:pStyle w:val="Compact"/>
        <w:numPr>
          <w:ilvl w:val="0"/>
          <w:numId w:val="1013"/>
        </w:numPr>
      </w:pPr>
      <w:r>
        <w:t xml:space="preserve">Internal alerts.</w:t>
      </w:r>
    </w:p>
    <w:p>
      <w:r>
        <w:pict>
          <v:rect style="width:0;height:1.5pt" o:hralign="center" o:hrstd="t" o:hr="t"/>
        </w:pict>
      </w:r>
    </w:p>
    <w:bookmarkEnd w:id="36"/>
    <w:bookmarkStart w:id="37" w:name="document-service"/>
    <w:p>
      <w:pPr>
        <w:pStyle w:val="Heading3"/>
      </w:pPr>
      <w:r>
        <w:t xml:space="preserve">Document Service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4"/>
        </w:numPr>
      </w:pPr>
      <w:r>
        <w:t xml:space="preserve">Digital documents.</w:t>
      </w:r>
    </w:p>
    <w:p>
      <w:pPr>
        <w:pStyle w:val="Compact"/>
        <w:numPr>
          <w:ilvl w:val="0"/>
          <w:numId w:val="1014"/>
        </w:numPr>
      </w:pPr>
      <w:r>
        <w:t xml:space="preserve">Certificates.</w:t>
      </w:r>
    </w:p>
    <w:p>
      <w:pPr>
        <w:pStyle w:val="Compact"/>
        <w:numPr>
          <w:ilvl w:val="0"/>
          <w:numId w:val="1014"/>
        </w:numPr>
      </w:pPr>
      <w:r>
        <w:t xml:space="preserve">Reports.</w:t>
      </w:r>
    </w:p>
    <w:p>
      <w:pPr>
        <w:pStyle w:val="Compact"/>
        <w:numPr>
          <w:ilvl w:val="0"/>
          <w:numId w:val="1014"/>
        </w:numPr>
      </w:pPr>
      <w:r>
        <w:t xml:space="preserve">Attachments.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latform-engineering"/>
    <w:p>
      <w:pPr>
        <w:pStyle w:val="Heading1"/>
      </w:pPr>
      <w:r>
        <w:t xml:space="preserve">20.6 Platform Engineering</w:t>
      </w:r>
    </w:p>
    <w:p>
      <w:pPr>
        <w:pStyle w:val="FirstParagraph"/>
      </w:pPr>
      <w:r>
        <w:t xml:space="preserve">Shared engineering capabilities include:</w:t>
      </w:r>
    </w:p>
    <w:p>
      <w:pPr>
        <w:pStyle w:val="Compact"/>
        <w:numPr>
          <w:ilvl w:val="0"/>
          <w:numId w:val="1015"/>
        </w:numPr>
      </w:pPr>
      <w:r>
        <w:t xml:space="preserve">Continuous Integration (CI).</w:t>
      </w:r>
    </w:p>
    <w:p>
      <w:pPr>
        <w:pStyle w:val="Compact"/>
        <w:numPr>
          <w:ilvl w:val="0"/>
          <w:numId w:val="1015"/>
        </w:numPr>
      </w:pPr>
      <w:r>
        <w:t xml:space="preserve">Continuous Deployment (CD).</w:t>
      </w:r>
    </w:p>
    <w:p>
      <w:pPr>
        <w:pStyle w:val="Compact"/>
        <w:numPr>
          <w:ilvl w:val="0"/>
          <w:numId w:val="1015"/>
        </w:numPr>
      </w:pPr>
      <w:r>
        <w:t xml:space="preserve">Automated testing.</w:t>
      </w:r>
    </w:p>
    <w:p>
      <w:pPr>
        <w:pStyle w:val="Compact"/>
        <w:numPr>
          <w:ilvl w:val="0"/>
          <w:numId w:val="1015"/>
        </w:numPr>
      </w:pPr>
      <w:r>
        <w:t xml:space="preserve">Version management.</w:t>
      </w:r>
    </w:p>
    <w:p>
      <w:pPr>
        <w:pStyle w:val="Compact"/>
        <w:numPr>
          <w:ilvl w:val="0"/>
          <w:numId w:val="1015"/>
        </w:numPr>
      </w:pPr>
      <w:r>
        <w:t xml:space="preserve">Configuration management.</w:t>
      </w:r>
    </w:p>
    <w:p>
      <w:pPr>
        <w:pStyle w:val="Compact"/>
        <w:numPr>
          <w:ilvl w:val="0"/>
          <w:numId w:val="1015"/>
        </w:numPr>
      </w:pPr>
      <w:r>
        <w:t xml:space="preserve">Infrastructure automation.</w:t>
      </w:r>
    </w:p>
    <w:p>
      <w:pPr>
        <w:pStyle w:val="Compact"/>
        <w:numPr>
          <w:ilvl w:val="0"/>
          <w:numId w:val="1015"/>
        </w:numPr>
      </w:pPr>
      <w:r>
        <w:t xml:space="preserve">Service monitoring.</w:t>
      </w:r>
    </w:p>
    <w:p>
      <w:pPr>
        <w:pStyle w:val="FirstParagraph"/>
      </w:pPr>
      <w:r>
        <w:t xml:space="preserve">These capabilities improve software quality and operational consistency.</w:t>
      </w:r>
    </w:p>
    <w:p>
      <w:r>
        <w:pict>
          <v:rect style="width:0;height:1.5pt" o:hralign="center" o:hrstd="t" o:hr="t"/>
        </w:pict>
      </w:r>
    </w:p>
    <w:bookmarkEnd w:id="39"/>
    <w:bookmarkStart w:id="40" w:name="service-communication"/>
    <w:p>
      <w:pPr>
        <w:pStyle w:val="Heading1"/>
      </w:pPr>
      <w:r>
        <w:t xml:space="preserve">20.7 Service Communication</w:t>
      </w:r>
    </w:p>
    <w:p>
      <w:pPr>
        <w:pStyle w:val="FirstParagraph"/>
      </w:pPr>
      <w:r>
        <w:t xml:space="preserve">Illustrative communication model:</w:t>
      </w:r>
    </w:p>
    <w:p>
      <w:pPr>
        <w:pStyle w:val="BodyText"/>
      </w:pPr>
      <w:r>
        <w:rPr>
          <w:rStyle w:val="VerbatimChar"/>
        </w:rPr>
        <w:t xml:space="preserve">text id="micro001" Client Applications          │          ▼ API Gateway          │          ▼ Identity Service          │ ─────────────── │     │      │ ▼     ▼      ▼ School Student Teacher │     │      │ ▼     ▼      ▼ Textbook Warehouse Asset │     │      │ ▼     ▼      ▼ Analytics Notifications Documents</w:t>
      </w:r>
    </w:p>
    <w:p>
      <w:pPr>
        <w:pStyle w:val="BodyText"/>
      </w:pPr>
      <w:r>
        <w:t xml:space="preserve">The API Gateway manages authentication, routing, monitoring, and access control.</w:t>
      </w:r>
    </w:p>
    <w:p>
      <w:r>
        <w:pict>
          <v:rect style="width:0;height:1.5pt" o:hralign="center" o:hrstd="t" o:hr="t"/>
        </w:pict>
      </w:r>
    </w:p>
    <w:bookmarkEnd w:id="40"/>
    <w:bookmarkStart w:id="41" w:name="event-driven-architecture"/>
    <w:p>
      <w:pPr>
        <w:pStyle w:val="Heading1"/>
      </w:pPr>
      <w:r>
        <w:t xml:space="preserve">20.8 Event-Driven Architecture</w:t>
      </w:r>
    </w:p>
    <w:p>
      <w:pPr>
        <w:pStyle w:val="FirstParagraph"/>
      </w:pPr>
      <w:r>
        <w:t xml:space="preserve">Rather than relying solely on synchronous communication, services may publish operational events.</w:t>
      </w:r>
    </w:p>
    <w:p>
      <w:pPr>
        <w:pStyle w:val="BodyText"/>
      </w:pPr>
      <w:r>
        <w:t xml:space="preserve">Illustrative events include:</w:t>
      </w:r>
    </w:p>
    <w:p>
      <w:pPr>
        <w:pStyle w:val="Compact"/>
        <w:numPr>
          <w:ilvl w:val="0"/>
          <w:numId w:val="1016"/>
        </w:numPr>
      </w:pPr>
      <w:r>
        <w:t xml:space="preserve">Student registered.</w:t>
      </w:r>
    </w:p>
    <w:p>
      <w:pPr>
        <w:pStyle w:val="Compact"/>
        <w:numPr>
          <w:ilvl w:val="0"/>
          <w:numId w:val="1016"/>
        </w:numPr>
      </w:pPr>
      <w:r>
        <w:t xml:space="preserve">Teacher assigned.</w:t>
      </w:r>
    </w:p>
    <w:p>
      <w:pPr>
        <w:pStyle w:val="Compact"/>
        <w:numPr>
          <w:ilvl w:val="0"/>
          <w:numId w:val="1016"/>
        </w:numPr>
      </w:pPr>
      <w:r>
        <w:t xml:space="preserve">Textbook received.</w:t>
      </w:r>
    </w:p>
    <w:p>
      <w:pPr>
        <w:pStyle w:val="Compact"/>
        <w:numPr>
          <w:ilvl w:val="0"/>
          <w:numId w:val="1016"/>
        </w:numPr>
      </w:pPr>
      <w:r>
        <w:t xml:space="preserve">Asset inspected.</w:t>
      </w:r>
    </w:p>
    <w:p>
      <w:pPr>
        <w:pStyle w:val="Compact"/>
        <w:numPr>
          <w:ilvl w:val="0"/>
          <w:numId w:val="1016"/>
        </w:numPr>
      </w:pPr>
      <w:r>
        <w:t xml:space="preserve">Shipment dispatched.</w:t>
      </w:r>
    </w:p>
    <w:p>
      <w:pPr>
        <w:pStyle w:val="Compact"/>
        <w:numPr>
          <w:ilvl w:val="0"/>
          <w:numId w:val="1016"/>
        </w:numPr>
      </w:pPr>
      <w:r>
        <w:t xml:space="preserve">Delivery confirmed.</w:t>
      </w:r>
    </w:p>
    <w:p>
      <w:pPr>
        <w:pStyle w:val="Compact"/>
        <w:numPr>
          <w:ilvl w:val="0"/>
          <w:numId w:val="1016"/>
        </w:numPr>
      </w:pPr>
      <w:r>
        <w:t xml:space="preserve">Inspection completed.</w:t>
      </w:r>
    </w:p>
    <w:p>
      <w:pPr>
        <w:pStyle w:val="FirstParagraph"/>
      </w:pPr>
      <w:r>
        <w:t xml:space="preserve">Authorized services subscribe to relevant events to maintain operational consistency while reducing system coupling.</w:t>
      </w:r>
    </w:p>
    <w:p>
      <w:r>
        <w:pict>
          <v:rect style="width:0;height:1.5pt" o:hralign="center" o:hrstd="t" o:hr="t"/>
        </w:pict>
      </w:r>
    </w:p>
    <w:bookmarkEnd w:id="41"/>
    <w:bookmarkStart w:id="42" w:name="observability"/>
    <w:p>
      <w:pPr>
        <w:pStyle w:val="Heading1"/>
      </w:pPr>
      <w:r>
        <w:t xml:space="preserve">20.9 Observability</w:t>
      </w:r>
    </w:p>
    <w:p>
      <w:pPr>
        <w:pStyle w:val="FirstParagraph"/>
      </w:pPr>
      <w:r>
        <w:t xml:space="preserve">Every service supports operational monitoring through:</w:t>
      </w:r>
    </w:p>
    <w:p>
      <w:pPr>
        <w:pStyle w:val="Compact"/>
        <w:numPr>
          <w:ilvl w:val="0"/>
          <w:numId w:val="1017"/>
        </w:numPr>
      </w:pPr>
      <w:r>
        <w:t xml:space="preserve">Health checks.</w:t>
      </w:r>
    </w:p>
    <w:p>
      <w:pPr>
        <w:pStyle w:val="Compact"/>
        <w:numPr>
          <w:ilvl w:val="0"/>
          <w:numId w:val="1017"/>
        </w:numPr>
      </w:pPr>
      <w:r>
        <w:t xml:space="preserve">Performance metrics.</w:t>
      </w:r>
    </w:p>
    <w:p>
      <w:pPr>
        <w:pStyle w:val="Compact"/>
        <w:numPr>
          <w:ilvl w:val="0"/>
          <w:numId w:val="1017"/>
        </w:numPr>
      </w:pPr>
      <w:r>
        <w:t xml:space="preserve">Centralized logging.</w:t>
      </w:r>
    </w:p>
    <w:p>
      <w:pPr>
        <w:pStyle w:val="Compact"/>
        <w:numPr>
          <w:ilvl w:val="0"/>
          <w:numId w:val="1017"/>
        </w:numPr>
      </w:pPr>
      <w:r>
        <w:t xml:space="preserve">Distributed tracing.</w:t>
      </w:r>
    </w:p>
    <w:p>
      <w:pPr>
        <w:pStyle w:val="Compact"/>
        <w:numPr>
          <w:ilvl w:val="0"/>
          <w:numId w:val="1017"/>
        </w:numPr>
      </w:pPr>
      <w:r>
        <w:t xml:space="preserve">Alerting.</w:t>
      </w:r>
    </w:p>
    <w:p>
      <w:pPr>
        <w:pStyle w:val="Compact"/>
        <w:numPr>
          <w:ilvl w:val="0"/>
          <w:numId w:val="1017"/>
        </w:numPr>
      </w:pPr>
      <w:r>
        <w:t xml:space="preserve">Capacity monitoring.</w:t>
      </w:r>
    </w:p>
    <w:p>
      <w:pPr>
        <w:pStyle w:val="FirstParagraph"/>
      </w:pPr>
      <w:r>
        <w:t xml:space="preserve">These capabilities assist operations teams in maintaining system reliability.</w:t>
      </w:r>
    </w:p>
    <w:p>
      <w:r>
        <w:pict>
          <v:rect style="width:0;height:1.5pt" o:hralign="center" o:hrstd="t" o:hr="t"/>
        </w:pict>
      </w:r>
    </w:p>
    <w:bookmarkEnd w:id="42"/>
    <w:bookmarkStart w:id="43" w:name="resilience"/>
    <w:p>
      <w:pPr>
        <w:pStyle w:val="Heading1"/>
      </w:pPr>
      <w:r>
        <w:t xml:space="preserve">20.10 Resilience</w:t>
      </w:r>
    </w:p>
    <w:p>
      <w:pPr>
        <w:pStyle w:val="FirstParagraph"/>
      </w:pPr>
      <w:r>
        <w:t xml:space="preserve">The platform incorporates resilience measures including:</w:t>
      </w:r>
    </w:p>
    <w:p>
      <w:pPr>
        <w:pStyle w:val="Compact"/>
        <w:numPr>
          <w:ilvl w:val="0"/>
          <w:numId w:val="1018"/>
        </w:numPr>
      </w:pPr>
      <w:r>
        <w:t xml:space="preserve">Service isolation.</w:t>
      </w:r>
    </w:p>
    <w:p>
      <w:pPr>
        <w:pStyle w:val="Compact"/>
        <w:numPr>
          <w:ilvl w:val="0"/>
          <w:numId w:val="1018"/>
        </w:numPr>
      </w:pPr>
      <w:r>
        <w:t xml:space="preserve">Automatic retry mechanisms.</w:t>
      </w:r>
    </w:p>
    <w:p>
      <w:pPr>
        <w:pStyle w:val="Compact"/>
        <w:numPr>
          <w:ilvl w:val="0"/>
          <w:numId w:val="1018"/>
        </w:numPr>
      </w:pPr>
      <w:r>
        <w:t xml:space="preserve">Graceful degradation.</w:t>
      </w:r>
    </w:p>
    <w:p>
      <w:pPr>
        <w:pStyle w:val="Compact"/>
        <w:numPr>
          <w:ilvl w:val="0"/>
          <w:numId w:val="1018"/>
        </w:numPr>
      </w:pPr>
      <w:r>
        <w:t xml:space="preserve">Queue-based processing.</w:t>
      </w:r>
    </w:p>
    <w:p>
      <w:pPr>
        <w:pStyle w:val="Compact"/>
        <w:numPr>
          <w:ilvl w:val="0"/>
          <w:numId w:val="1018"/>
        </w:numPr>
      </w:pPr>
      <w:r>
        <w:t xml:space="preserve">Offline operation.</w:t>
      </w:r>
    </w:p>
    <w:p>
      <w:pPr>
        <w:pStyle w:val="Compact"/>
        <w:numPr>
          <w:ilvl w:val="0"/>
          <w:numId w:val="1018"/>
        </w:numPr>
      </w:pPr>
      <w:r>
        <w:t xml:space="preserve">Backup services.</w:t>
      </w:r>
    </w:p>
    <w:p>
      <w:pPr>
        <w:pStyle w:val="Compact"/>
        <w:numPr>
          <w:ilvl w:val="0"/>
          <w:numId w:val="1018"/>
        </w:numPr>
      </w:pPr>
      <w:r>
        <w:t xml:space="preserve">Disaster recovery integration.</w:t>
      </w:r>
    </w:p>
    <w:p>
      <w:pPr>
        <w:pStyle w:val="FirstParagraph"/>
      </w:pPr>
      <w:r>
        <w:t xml:space="preserve">These measures improve system availability during component failures or network disruptions.</w:t>
      </w:r>
    </w:p>
    <w:p>
      <w:r>
        <w:pict>
          <v:rect style="width:0;height:1.5pt" o:hralign="center" o:hrstd="t" o:hr="t"/>
        </w:pict>
      </w:r>
    </w:p>
    <w:bookmarkEnd w:id="43"/>
    <w:bookmarkStart w:id="50" w:name="functional-requirements"/>
    <w:p>
      <w:pPr>
        <w:pStyle w:val="Heading1"/>
      </w:pPr>
      <w:r>
        <w:t xml:space="preserve">20.11 Functional Requirements</w:t>
      </w:r>
    </w:p>
    <w:bookmarkStart w:id="44" w:name="fr-ms-001"/>
    <w:p>
      <w:pPr>
        <w:pStyle w:val="Heading3"/>
      </w:pPr>
      <w:r>
        <w:t xml:space="preserve">FR-MS-001</w:t>
      </w:r>
    </w:p>
    <w:p>
      <w:pPr>
        <w:pStyle w:val="FirstParagraph"/>
      </w:pPr>
      <w:r>
        <w:t xml:space="preserve">Support independent deployment of digital services.</w:t>
      </w:r>
    </w:p>
    <w:p>
      <w:r>
        <w:pict>
          <v:rect style="width:0;height:1.5pt" o:hralign="center" o:hrstd="t" o:hr="t"/>
        </w:pict>
      </w:r>
    </w:p>
    <w:bookmarkEnd w:id="44"/>
    <w:bookmarkStart w:id="45" w:name="fr-ms-002"/>
    <w:p>
      <w:pPr>
        <w:pStyle w:val="Heading3"/>
      </w:pPr>
      <w:r>
        <w:t xml:space="preserve">FR-MS-002</w:t>
      </w:r>
    </w:p>
    <w:p>
      <w:pPr>
        <w:pStyle w:val="FirstParagraph"/>
      </w:pPr>
      <w:r>
        <w:t xml:space="preserve">Provide secure API communication between services.</w:t>
      </w:r>
    </w:p>
    <w:p>
      <w:r>
        <w:pict>
          <v:rect style="width:0;height:1.5pt" o:hralign="center" o:hrstd="t" o:hr="t"/>
        </w:pict>
      </w:r>
    </w:p>
    <w:bookmarkEnd w:id="45"/>
    <w:bookmarkStart w:id="46" w:name="fr-ms-003"/>
    <w:p>
      <w:pPr>
        <w:pStyle w:val="Heading3"/>
      </w:pPr>
      <w:r>
        <w:t xml:space="preserve">FR-MS-003</w:t>
      </w:r>
    </w:p>
    <w:p>
      <w:pPr>
        <w:pStyle w:val="FirstParagraph"/>
      </w:pPr>
      <w:r>
        <w:t xml:space="preserve">Support event-driven information exchange.</w:t>
      </w:r>
    </w:p>
    <w:p>
      <w:r>
        <w:pict>
          <v:rect style="width:0;height:1.5pt" o:hralign="center" o:hrstd="t" o:hr="t"/>
        </w:pict>
      </w:r>
    </w:p>
    <w:bookmarkEnd w:id="46"/>
    <w:bookmarkStart w:id="47" w:name="fr-ms-004"/>
    <w:p>
      <w:pPr>
        <w:pStyle w:val="Heading3"/>
      </w:pPr>
      <w:r>
        <w:t xml:space="preserve">FR-MS-004</w:t>
      </w:r>
    </w:p>
    <w:p>
      <w:pPr>
        <w:pStyle w:val="FirstParagraph"/>
      </w:pPr>
      <w:r>
        <w:t xml:space="preserve">Provide centralized monitoring and logging.</w:t>
      </w:r>
    </w:p>
    <w:p>
      <w:r>
        <w:pict>
          <v:rect style="width:0;height:1.5pt" o:hralign="center" o:hrstd="t" o:hr="t"/>
        </w:pict>
      </w:r>
    </w:p>
    <w:bookmarkEnd w:id="47"/>
    <w:bookmarkStart w:id="48" w:name="fr-ms-005"/>
    <w:p>
      <w:pPr>
        <w:pStyle w:val="Heading3"/>
      </w:pPr>
      <w:r>
        <w:t xml:space="preserve">FR-MS-005</w:t>
      </w:r>
    </w:p>
    <w:p>
      <w:pPr>
        <w:pStyle w:val="FirstParagraph"/>
      </w:pPr>
      <w:r>
        <w:t xml:space="preserve">Support automated deployment and testing.</w:t>
      </w:r>
    </w:p>
    <w:p>
      <w:r>
        <w:pict>
          <v:rect style="width:0;height:1.5pt" o:hralign="center" o:hrstd="t" o:hr="t"/>
        </w:pict>
      </w:r>
    </w:p>
    <w:bookmarkEnd w:id="48"/>
    <w:bookmarkStart w:id="49" w:name="fr-ms-006"/>
    <w:p>
      <w:pPr>
        <w:pStyle w:val="Heading3"/>
      </w:pPr>
      <w:r>
        <w:t xml:space="preserve">FR-MS-006</w:t>
      </w:r>
    </w:p>
    <w:p>
      <w:pPr>
        <w:pStyle w:val="FirstParagraph"/>
      </w:pPr>
      <w:r>
        <w:t xml:space="preserve">Maintain service-level audit trails.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key-performance-indicators"/>
    <w:p>
      <w:pPr>
        <w:pStyle w:val="Heading1"/>
      </w:pPr>
      <w:r>
        <w:t xml:space="preserve">20.12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9"/>
        </w:numPr>
      </w:pPr>
      <w:r>
        <w:t xml:space="preserve">Service availability.</w:t>
      </w:r>
    </w:p>
    <w:p>
      <w:pPr>
        <w:pStyle w:val="Compact"/>
        <w:numPr>
          <w:ilvl w:val="0"/>
          <w:numId w:val="1019"/>
        </w:numPr>
      </w:pPr>
      <w:r>
        <w:t xml:space="preserve">API response time.</w:t>
      </w:r>
    </w:p>
    <w:p>
      <w:pPr>
        <w:pStyle w:val="Compact"/>
        <w:numPr>
          <w:ilvl w:val="0"/>
          <w:numId w:val="1019"/>
        </w:numPr>
      </w:pPr>
      <w:r>
        <w:t xml:space="preserve">Deployment frequency.</w:t>
      </w:r>
    </w:p>
    <w:p>
      <w:pPr>
        <w:pStyle w:val="Compact"/>
        <w:numPr>
          <w:ilvl w:val="0"/>
          <w:numId w:val="1019"/>
        </w:numPr>
      </w:pPr>
      <w:r>
        <w:t xml:space="preserve">Mean time to recovery (MTTR).</w:t>
      </w:r>
    </w:p>
    <w:p>
      <w:pPr>
        <w:pStyle w:val="Compact"/>
        <w:numPr>
          <w:ilvl w:val="0"/>
          <w:numId w:val="1019"/>
        </w:numPr>
      </w:pPr>
      <w:r>
        <w:t xml:space="preserve">Failed deployment rate.</w:t>
      </w:r>
    </w:p>
    <w:p>
      <w:pPr>
        <w:pStyle w:val="Compact"/>
        <w:numPr>
          <w:ilvl w:val="0"/>
          <w:numId w:val="1019"/>
        </w:numPr>
      </w:pPr>
      <w:r>
        <w:t xml:space="preserve">Service scalability.</w:t>
      </w:r>
    </w:p>
    <w:p>
      <w:pPr>
        <w:pStyle w:val="Compact"/>
        <w:numPr>
          <w:ilvl w:val="0"/>
          <w:numId w:val="1019"/>
        </w:numPr>
      </w:pPr>
      <w:r>
        <w:t xml:space="preserve">Platform uptime.</w:t>
      </w:r>
    </w:p>
    <w:p>
      <w:pPr>
        <w:pStyle w:val="Compact"/>
        <w:numPr>
          <w:ilvl w:val="0"/>
          <w:numId w:val="1019"/>
        </w:numPr>
      </w:pPr>
      <w:r>
        <w:t xml:space="preserve">Operational efficiency.</w:t>
      </w:r>
    </w:p>
    <w:p>
      <w:r>
        <w:pict>
          <v:rect style="width:0;height:1.5pt" o:hralign="center" o:hrstd="t" o:hr="t"/>
        </w:pict>
      </w:r>
    </w:p>
    <w:bookmarkEnd w:id="51"/>
    <w:bookmarkStart w:id="52" w:name="expected-benefits"/>
    <w:p>
      <w:pPr>
        <w:pStyle w:val="Heading1"/>
      </w:pPr>
      <w:r>
        <w:t xml:space="preserve">20.13 Expected Benefits</w:t>
      </w:r>
    </w:p>
    <w:p>
      <w:pPr>
        <w:pStyle w:val="FirstParagraph"/>
      </w:pPr>
      <w:r>
        <w:t xml:space="preserve">The National Microservices and Platform Engineering Framework is expected to provide:</w:t>
      </w:r>
    </w:p>
    <w:p>
      <w:pPr>
        <w:pStyle w:val="Compact"/>
        <w:numPr>
          <w:ilvl w:val="0"/>
          <w:numId w:val="1020"/>
        </w:numPr>
      </w:pPr>
      <w:r>
        <w:t xml:space="preserve">Faster software delivery.</w:t>
      </w:r>
    </w:p>
    <w:p>
      <w:pPr>
        <w:pStyle w:val="Compact"/>
        <w:numPr>
          <w:ilvl w:val="0"/>
          <w:numId w:val="1020"/>
        </w:numPr>
      </w:pPr>
      <w:r>
        <w:t xml:space="preserve">Improved reliability.</w:t>
      </w:r>
    </w:p>
    <w:p>
      <w:pPr>
        <w:pStyle w:val="Compact"/>
        <w:numPr>
          <w:ilvl w:val="0"/>
          <w:numId w:val="1020"/>
        </w:numPr>
      </w:pPr>
      <w:r>
        <w:t xml:space="preserve">Easier maintenance.</w:t>
      </w:r>
    </w:p>
    <w:p>
      <w:pPr>
        <w:pStyle w:val="Compact"/>
        <w:numPr>
          <w:ilvl w:val="0"/>
          <w:numId w:val="1020"/>
        </w:numPr>
      </w:pPr>
      <w:r>
        <w:t xml:space="preserve">Independent scaling of services.</w:t>
      </w:r>
    </w:p>
    <w:p>
      <w:pPr>
        <w:pStyle w:val="Compact"/>
        <w:numPr>
          <w:ilvl w:val="0"/>
          <w:numId w:val="1020"/>
        </w:numPr>
      </w:pPr>
      <w:r>
        <w:t xml:space="preserve">Better fault isolation.</w:t>
      </w:r>
    </w:p>
    <w:p>
      <w:pPr>
        <w:pStyle w:val="Compact"/>
        <w:numPr>
          <w:ilvl w:val="0"/>
          <w:numId w:val="1020"/>
        </w:numPr>
      </w:pPr>
      <w:r>
        <w:t xml:space="preserve">Improved operational monitoring.</w:t>
      </w:r>
    </w:p>
    <w:p>
      <w:pPr>
        <w:pStyle w:val="Compact"/>
        <w:numPr>
          <w:ilvl w:val="0"/>
          <w:numId w:val="1020"/>
        </w:numPr>
      </w:pPr>
      <w:r>
        <w:t xml:space="preserve">Long-term sustainability.</w:t>
      </w:r>
    </w:p>
    <w:p>
      <w:pPr>
        <w:pStyle w:val="Compact"/>
        <w:numPr>
          <w:ilvl w:val="0"/>
          <w:numId w:val="1020"/>
        </w:numPr>
      </w:pPr>
      <w:r>
        <w:t xml:space="preserve">Reduced lifecycle costs.</w:t>
      </w:r>
    </w:p>
    <w:p>
      <w:pPr>
        <w:pStyle w:val="FirstParagraph"/>
      </w:pPr>
      <w:r>
        <w:t xml:space="preserve">These benefits depend upon disciplined engineering practices, governance, and ongoing operational support.</w:t>
      </w:r>
    </w:p>
    <w:p>
      <w:r>
        <w:pict>
          <v:rect style="width:0;height:1.5pt" o:hralign="center" o:hrstd="t" o:hr="t"/>
        </w:pict>
      </w:r>
    </w:p>
    <w:bookmarkEnd w:id="52"/>
    <w:bookmarkStart w:id="53" w:name="chapter-summary"/>
    <w:p>
      <w:pPr>
        <w:pStyle w:val="Heading1"/>
      </w:pPr>
      <w:r>
        <w:t xml:space="preserve">20.14 Chapter Summary</w:t>
      </w:r>
    </w:p>
    <w:p>
      <w:pPr>
        <w:pStyle w:val="FirstParagraph"/>
      </w:pPr>
      <w:r>
        <w:t xml:space="preserve">The National Microservices and Platform Engineering Framework transforms EduOS Cameroon into a modern, service-oriented digital platform capable of supporting national-scale education services.</w:t>
      </w:r>
    </w:p>
    <w:p>
      <w:pPr>
        <w:pStyle w:val="BodyText"/>
      </w:pPr>
      <w:r>
        <w:t xml:space="preserve">By combining modular digital services, platform engineering, event-driven communication, observability, and resilient deployment practices, the framework establishes a technical foundation that can evolve continuously while maintaining high levels of availability, security, and operational performance.</w:t>
      </w:r>
    </w:p>
    <w:p>
      <w:pPr>
        <w:pStyle w:val="BodyText"/>
      </w:pPr>
      <w:r>
        <w:t xml:space="preserve">The next chapter introduces the</w:t>
      </w:r>
      <w:r>
        <w:t xml:space="preserve"> </w:t>
      </w:r>
      <w:r>
        <w:rPr>
          <w:b/>
          <w:bCs/>
        </w:rPr>
        <w:t xml:space="preserve">National Cloud, Edge Computing and Offline Synchronization Architecture</w:t>
      </w:r>
      <w:r>
        <w:t xml:space="preserve">, detailing how EduOS Cameroon operates seamlessly across national data centres, regional infrastructure, and schools with intermittent connectivity.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2026-07-10T14:22:04Z</dcterms:created>
  <dcterms:modified xsi:type="dcterms:W3CDTF">2026-07-10T14:22:04Z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