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chapter-4"/>
    <w:p>
      <w:pPr>
        <w:pStyle w:val="Heading1"/>
      </w:pPr>
      <w:r>
        <w:t xml:space="preserve">CHAPTER 4</w:t>
      </w:r>
    </w:p>
    <w:bookmarkEnd w:id="20"/>
    <w:bookmarkStart w:id="22" w:name="Xe97862b9d619b064fdc95c147454eb34b901b9a"/>
    <w:p>
      <w:pPr>
        <w:pStyle w:val="Heading1"/>
      </w:pPr>
      <w:r>
        <w:t xml:space="preserve">PROCUREMENT, CONTRACT MANAGEMENT AND SUPPLIER ECOSYSTEM ASSESSMENT</w:t>
      </w:r>
    </w:p>
    <w:bookmarkStart w:id="21" w:name="introduction"/>
    <w:p>
      <w:pPr>
        <w:pStyle w:val="Heading2"/>
      </w:pPr>
      <w:r>
        <w:t xml:space="preserve">4.1 Introduction</w:t>
      </w:r>
    </w:p>
    <w:p>
      <w:pPr>
        <w:pStyle w:val="FirstParagraph"/>
      </w:pPr>
      <w:r>
        <w:t xml:space="preserve">The procurement of textbooks and learning materials represents one of the most significant recurring investments within the education sector.</w:t>
      </w:r>
    </w:p>
    <w:p>
      <w:pPr>
        <w:pStyle w:val="BodyText"/>
      </w:pPr>
      <w:r>
        <w:t xml:space="preserve">Effective procurement extends beyond purchasing. It encompasses demand forecasting, technical specifications, supplier qualification, contract administration, production monitoring, delivery verification, payment processing, and performance evaluation.</w:t>
      </w:r>
    </w:p>
    <w:p>
      <w:pPr>
        <w:pStyle w:val="BodyText"/>
      </w:pPr>
      <w:r>
        <w:t xml:space="preserve">As Cameroon continues to strengthen textbook provision, digital technologies provide an opportunity to improve visibility, coordination, documentation, and performance monitoring throughout the procurement lifecycle.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procurement-objectives"/>
    <w:p>
      <w:pPr>
        <w:pStyle w:val="Heading1"/>
      </w:pPr>
      <w:r>
        <w:t xml:space="preserve">4.2 Procurement Objectives</w:t>
      </w:r>
    </w:p>
    <w:p>
      <w:pPr>
        <w:pStyle w:val="FirstParagraph"/>
      </w:pPr>
      <w:r>
        <w:t xml:space="preserve">A modern procurement system should seek to:</w:t>
      </w:r>
    </w:p>
    <w:p>
      <w:pPr>
        <w:pStyle w:val="Compact"/>
        <w:numPr>
          <w:ilvl w:val="0"/>
          <w:numId w:val="1001"/>
        </w:numPr>
      </w:pPr>
      <w:r>
        <w:t xml:space="preserve">Deliver quality textbooks that meet approved standards.</w:t>
      </w:r>
    </w:p>
    <w:p>
      <w:pPr>
        <w:pStyle w:val="Compact"/>
        <w:numPr>
          <w:ilvl w:val="0"/>
          <w:numId w:val="1001"/>
        </w:numPr>
      </w:pPr>
      <w:r>
        <w:t xml:space="preserve">Achieve value for public expenditure.</w:t>
      </w:r>
    </w:p>
    <w:p>
      <w:pPr>
        <w:pStyle w:val="Compact"/>
        <w:numPr>
          <w:ilvl w:val="0"/>
          <w:numId w:val="1001"/>
        </w:numPr>
      </w:pPr>
      <w:r>
        <w:t xml:space="preserve">Ensure timely availability before each academic year.</w:t>
      </w:r>
    </w:p>
    <w:p>
      <w:pPr>
        <w:pStyle w:val="Compact"/>
        <w:numPr>
          <w:ilvl w:val="0"/>
          <w:numId w:val="1001"/>
        </w:numPr>
      </w:pPr>
      <w:r>
        <w:t xml:space="preserve">Promote transparency and accountability.</w:t>
      </w:r>
    </w:p>
    <w:p>
      <w:pPr>
        <w:pStyle w:val="Compact"/>
        <w:numPr>
          <w:ilvl w:val="0"/>
          <w:numId w:val="1001"/>
        </w:numPr>
      </w:pPr>
      <w:r>
        <w:t xml:space="preserve">Strengthen supplier performance management.</w:t>
      </w:r>
    </w:p>
    <w:p>
      <w:pPr>
        <w:pStyle w:val="Compact"/>
        <w:numPr>
          <w:ilvl w:val="0"/>
          <w:numId w:val="1001"/>
        </w:numPr>
      </w:pPr>
      <w:r>
        <w:t xml:space="preserve">Reduce administrative delays.</w:t>
      </w:r>
    </w:p>
    <w:p>
      <w:pPr>
        <w:pStyle w:val="Compact"/>
        <w:numPr>
          <w:ilvl w:val="0"/>
          <w:numId w:val="1001"/>
        </w:numPr>
      </w:pPr>
      <w:r>
        <w:t xml:space="preserve">Improve planning accuracy.</w:t>
      </w:r>
    </w:p>
    <w:p>
      <w:pPr>
        <w:pStyle w:val="Compact"/>
        <w:numPr>
          <w:ilvl w:val="0"/>
          <w:numId w:val="1001"/>
        </w:numPr>
      </w:pPr>
      <w:r>
        <w:t xml:space="preserve">Support evidence-based procurement decisions.</w:t>
      </w:r>
    </w:p>
    <w:p>
      <w:r>
        <w:pict>
          <v:rect style="width:0;height:1.5pt" o:hralign="center" o:hrstd="t" o:hr="t"/>
        </w:pict>
      </w:r>
    </w:p>
    <w:bookmarkEnd w:id="23"/>
    <w:bookmarkStart w:id="24" w:name="procurement-lifecycle"/>
    <w:p>
      <w:pPr>
        <w:pStyle w:val="Heading1"/>
      </w:pPr>
      <w:r>
        <w:t xml:space="preserve">4.3 Procurement Lifecycle</w:t>
      </w:r>
    </w:p>
    <w:p>
      <w:pPr>
        <w:pStyle w:val="FirstParagraph"/>
      </w:pPr>
      <w:r>
        <w:t xml:space="preserve">The textbook procurement process can be represented as follows:</w:t>
      </w:r>
    </w:p>
    <w:p>
      <w:pPr>
        <w:pStyle w:val="BodyText"/>
      </w:pPr>
      <w:r>
        <w:rPr>
          <w:rStyle w:val="VerbatimChar"/>
        </w:rPr>
        <w:t xml:space="preserve">text id="proc001" Needs Assessment         │         ▼ Demand Forecasting         │         ▼ Budget Confirmation         │         ▼ Procurement Planning         │         ▼ Tender Preparation         │         ▼ Bid Submission         │         ▼ Evaluation         │         ▼ Contract Award         │         ▼ Printing &amp; Production         │         ▼ Quality Assurance         │         ▼ Delivery         │         ▼ Contract Close-Out</w:t>
      </w:r>
    </w:p>
    <w:p>
      <w:pPr>
        <w:pStyle w:val="BodyText"/>
      </w:pPr>
      <w:r>
        <w:t xml:space="preserve">Each stage generates information that can be captured digitally to strengthen oversight and reporting.</w:t>
      </w:r>
    </w:p>
    <w:p>
      <w:r>
        <w:pict>
          <v:rect style="width:0;height:1.5pt" o:hralign="center" o:hrstd="t" o:hr="t"/>
        </w:pict>
      </w:r>
    </w:p>
    <w:bookmarkEnd w:id="24"/>
    <w:bookmarkStart w:id="28" w:name="key-stakeholders"/>
    <w:p>
      <w:pPr>
        <w:pStyle w:val="Heading1"/>
      </w:pPr>
      <w:r>
        <w:t xml:space="preserve">4.4 Key Stakeholders</w:t>
      </w:r>
    </w:p>
    <w:p>
      <w:pPr>
        <w:pStyle w:val="FirstParagraph"/>
      </w:pPr>
      <w:r>
        <w:t xml:space="preserve">The procurement ecosystem involves multiple participants, including:</w:t>
      </w:r>
    </w:p>
    <w:bookmarkStart w:id="25" w:name="government"/>
    <w:p>
      <w:pPr>
        <w:pStyle w:val="Heading3"/>
      </w:pPr>
      <w:r>
        <w:t xml:space="preserve">Government</w:t>
      </w:r>
    </w:p>
    <w:p>
      <w:pPr>
        <w:pStyle w:val="Compact"/>
        <w:numPr>
          <w:ilvl w:val="0"/>
          <w:numId w:val="1002"/>
        </w:numPr>
      </w:pPr>
      <w:r>
        <w:t xml:space="preserve">Education ministries.</w:t>
      </w:r>
    </w:p>
    <w:p>
      <w:pPr>
        <w:pStyle w:val="Compact"/>
        <w:numPr>
          <w:ilvl w:val="0"/>
          <w:numId w:val="1002"/>
        </w:numPr>
      </w:pPr>
      <w:r>
        <w:t xml:space="preserve">Procurement committees.</w:t>
      </w:r>
    </w:p>
    <w:p>
      <w:pPr>
        <w:pStyle w:val="Compact"/>
        <w:numPr>
          <w:ilvl w:val="0"/>
          <w:numId w:val="1002"/>
        </w:numPr>
      </w:pPr>
      <w:r>
        <w:t xml:space="preserve">Financial authorities.</w:t>
      </w:r>
    </w:p>
    <w:p>
      <w:pPr>
        <w:pStyle w:val="Compact"/>
        <w:numPr>
          <w:ilvl w:val="0"/>
          <w:numId w:val="1002"/>
        </w:numPr>
      </w:pPr>
      <w:r>
        <w:t xml:space="preserve">Technical evaluation committees.</w:t>
      </w:r>
    </w:p>
    <w:p>
      <w:r>
        <w:pict>
          <v:rect style="width:0;height:1.5pt" o:hralign="center" o:hrstd="t" o:hr="t"/>
        </w:pict>
      </w:r>
    </w:p>
    <w:bookmarkEnd w:id="25"/>
    <w:bookmarkStart w:id="26" w:name="private-sector"/>
    <w:p>
      <w:pPr>
        <w:pStyle w:val="Heading3"/>
      </w:pPr>
      <w:r>
        <w:t xml:space="preserve">Private Sector</w:t>
      </w:r>
    </w:p>
    <w:p>
      <w:pPr>
        <w:pStyle w:val="Compact"/>
        <w:numPr>
          <w:ilvl w:val="0"/>
          <w:numId w:val="1003"/>
        </w:numPr>
      </w:pPr>
      <w:r>
        <w:t xml:space="preserve">Publishers.</w:t>
      </w:r>
    </w:p>
    <w:p>
      <w:pPr>
        <w:pStyle w:val="Compact"/>
        <w:numPr>
          <w:ilvl w:val="0"/>
          <w:numId w:val="1003"/>
        </w:numPr>
      </w:pPr>
      <w:r>
        <w:t xml:space="preserve">Printing companies.</w:t>
      </w:r>
    </w:p>
    <w:p>
      <w:pPr>
        <w:pStyle w:val="Compact"/>
        <w:numPr>
          <w:ilvl w:val="0"/>
          <w:numId w:val="1003"/>
        </w:numPr>
      </w:pPr>
      <w:r>
        <w:t xml:space="preserve">Paper suppliers.</w:t>
      </w:r>
    </w:p>
    <w:p>
      <w:pPr>
        <w:pStyle w:val="Compact"/>
        <w:numPr>
          <w:ilvl w:val="0"/>
          <w:numId w:val="1003"/>
        </w:numPr>
      </w:pPr>
      <w:r>
        <w:t xml:space="preserve">Logistics providers.</w:t>
      </w:r>
    </w:p>
    <w:p>
      <w:r>
        <w:pict>
          <v:rect style="width:0;height:1.5pt" o:hralign="center" o:hrstd="t" o:hr="t"/>
        </w:pict>
      </w:r>
    </w:p>
    <w:bookmarkEnd w:id="26"/>
    <w:bookmarkStart w:id="27" w:name="oversight"/>
    <w:p>
      <w:pPr>
        <w:pStyle w:val="Heading3"/>
      </w:pPr>
      <w:r>
        <w:t xml:space="preserve">Oversight</w:t>
      </w:r>
    </w:p>
    <w:p>
      <w:pPr>
        <w:pStyle w:val="Compact"/>
        <w:numPr>
          <w:ilvl w:val="0"/>
          <w:numId w:val="1004"/>
        </w:numPr>
      </w:pPr>
      <w:r>
        <w:t xml:space="preserve">Internal audit.</w:t>
      </w:r>
    </w:p>
    <w:p>
      <w:pPr>
        <w:pStyle w:val="Compact"/>
        <w:numPr>
          <w:ilvl w:val="0"/>
          <w:numId w:val="1004"/>
        </w:numPr>
      </w:pPr>
      <w:r>
        <w:t xml:space="preserve">External audit.</w:t>
      </w:r>
    </w:p>
    <w:p>
      <w:pPr>
        <w:pStyle w:val="Compact"/>
        <w:numPr>
          <w:ilvl w:val="0"/>
          <w:numId w:val="1004"/>
        </w:numPr>
      </w:pPr>
      <w:r>
        <w:t xml:space="preserve">Authorized inspection bodies.</w:t>
      </w:r>
    </w:p>
    <w:p>
      <w:pPr>
        <w:pStyle w:val="Compact"/>
        <w:numPr>
          <w:ilvl w:val="0"/>
          <w:numId w:val="1004"/>
        </w:numPr>
      </w:pPr>
      <w:r>
        <w:t xml:space="preserve">Development partners where applicable.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3" w:name="current-operational-opportunities"/>
    <w:p>
      <w:pPr>
        <w:pStyle w:val="Heading1"/>
      </w:pPr>
      <w:r>
        <w:t xml:space="preserve">4.5 Current Operational Opportunities</w:t>
      </w:r>
    </w:p>
    <w:p>
      <w:pPr>
        <w:pStyle w:val="FirstParagraph"/>
      </w:pPr>
      <w:r>
        <w:t xml:space="preserve">Digital transformation can strengthen several procurement activities.</w:t>
      </w:r>
    </w:p>
    <w:bookmarkStart w:id="29" w:name="demand-forecasting"/>
    <w:p>
      <w:pPr>
        <w:pStyle w:val="Heading2"/>
      </w:pPr>
      <w:r>
        <w:t xml:space="preserve">Demand Forecasting</w:t>
      </w:r>
    </w:p>
    <w:p>
      <w:pPr>
        <w:pStyle w:val="FirstParagraph"/>
      </w:pPr>
      <w:r>
        <w:t xml:space="preserve">Forecasts are often influenced by:</w:t>
      </w:r>
    </w:p>
    <w:p>
      <w:pPr>
        <w:pStyle w:val="Compact"/>
        <w:numPr>
          <w:ilvl w:val="0"/>
          <w:numId w:val="1005"/>
        </w:numPr>
      </w:pPr>
      <w:r>
        <w:t xml:space="preserve">Enrolment changes.</w:t>
      </w:r>
    </w:p>
    <w:p>
      <w:pPr>
        <w:pStyle w:val="Compact"/>
        <w:numPr>
          <w:ilvl w:val="0"/>
          <w:numId w:val="1005"/>
        </w:numPr>
      </w:pPr>
      <w:r>
        <w:t xml:space="preserve">Curriculum updates.</w:t>
      </w:r>
    </w:p>
    <w:p>
      <w:pPr>
        <w:pStyle w:val="Compact"/>
        <w:numPr>
          <w:ilvl w:val="0"/>
          <w:numId w:val="1005"/>
        </w:numPr>
      </w:pPr>
      <w:r>
        <w:t xml:space="preserve">Existing stock.</w:t>
      </w:r>
    </w:p>
    <w:p>
      <w:pPr>
        <w:pStyle w:val="Compact"/>
        <w:numPr>
          <w:ilvl w:val="0"/>
          <w:numId w:val="1005"/>
        </w:numPr>
      </w:pPr>
      <w:r>
        <w:t xml:space="preserve">Population movement.</w:t>
      </w:r>
    </w:p>
    <w:p>
      <w:pPr>
        <w:pStyle w:val="Compact"/>
        <w:numPr>
          <w:ilvl w:val="0"/>
          <w:numId w:val="1005"/>
        </w:numPr>
      </w:pPr>
      <w:r>
        <w:t xml:space="preserve">Emergency requirements.</w:t>
      </w:r>
    </w:p>
    <w:p>
      <w:pPr>
        <w:pStyle w:val="FirstParagraph"/>
      </w:pPr>
      <w:r>
        <w:t xml:space="preserve">A digital platform can consolidate these inputs into a single planning environment.</w:t>
      </w:r>
    </w:p>
    <w:p>
      <w:r>
        <w:pict>
          <v:rect style="width:0;height:1.5pt" o:hralign="center" o:hrstd="t" o:hr="t"/>
        </w:pict>
      </w:r>
    </w:p>
    <w:bookmarkEnd w:id="29"/>
    <w:bookmarkStart w:id="30" w:name="contract-monitoring"/>
    <w:p>
      <w:pPr>
        <w:pStyle w:val="Heading2"/>
      </w:pPr>
      <w:r>
        <w:t xml:space="preserve">Contract Monitoring</w:t>
      </w:r>
    </w:p>
    <w:p>
      <w:pPr>
        <w:pStyle w:val="FirstParagraph"/>
      </w:pPr>
      <w:r>
        <w:t xml:space="preserve">Once contracts are awarded, decision-makers benefit from continuous visibility into:</w:t>
      </w:r>
    </w:p>
    <w:p>
      <w:pPr>
        <w:pStyle w:val="Compact"/>
        <w:numPr>
          <w:ilvl w:val="0"/>
          <w:numId w:val="1006"/>
        </w:numPr>
      </w:pPr>
      <w:r>
        <w:t xml:space="preserve">Production progress.</w:t>
      </w:r>
    </w:p>
    <w:p>
      <w:pPr>
        <w:pStyle w:val="Compact"/>
        <w:numPr>
          <w:ilvl w:val="0"/>
          <w:numId w:val="1006"/>
        </w:numPr>
      </w:pPr>
      <w:r>
        <w:t xml:space="preserve">Delivery milestones.</w:t>
      </w:r>
    </w:p>
    <w:p>
      <w:pPr>
        <w:pStyle w:val="Compact"/>
        <w:numPr>
          <w:ilvl w:val="0"/>
          <w:numId w:val="1006"/>
        </w:numPr>
      </w:pPr>
      <w:r>
        <w:t xml:space="preserve">Contract amendments.</w:t>
      </w:r>
    </w:p>
    <w:p>
      <w:pPr>
        <w:pStyle w:val="Compact"/>
        <w:numPr>
          <w:ilvl w:val="0"/>
          <w:numId w:val="1006"/>
        </w:numPr>
      </w:pPr>
      <w:r>
        <w:t xml:space="preserve">Outstanding obligations.</w:t>
      </w:r>
    </w:p>
    <w:p>
      <w:pPr>
        <w:pStyle w:val="Compact"/>
        <w:numPr>
          <w:ilvl w:val="0"/>
          <w:numId w:val="1006"/>
        </w:numPr>
      </w:pPr>
      <w:r>
        <w:t xml:space="preserve">Completion status.</w:t>
      </w:r>
    </w:p>
    <w:p>
      <w:r>
        <w:pict>
          <v:rect style="width:0;height:1.5pt" o:hralign="center" o:hrstd="t" o:hr="t"/>
        </w:pict>
      </w:r>
    </w:p>
    <w:bookmarkEnd w:id="30"/>
    <w:bookmarkStart w:id="31" w:name="supplier-performance"/>
    <w:p>
      <w:pPr>
        <w:pStyle w:val="Heading2"/>
      </w:pPr>
      <w:r>
        <w:t xml:space="preserve">Supplier Performance</w:t>
      </w:r>
    </w:p>
    <w:p>
      <w:pPr>
        <w:pStyle w:val="FirstParagraph"/>
      </w:pPr>
      <w:r>
        <w:t xml:space="preserve">Long-term improvement requires objective supplier performance information.</w:t>
      </w:r>
    </w:p>
    <w:p>
      <w:pPr>
        <w:pStyle w:val="BodyText"/>
      </w:pPr>
      <w:r>
        <w:t xml:space="preserve">Illustrative indicators include:</w:t>
      </w:r>
    </w:p>
    <w:p>
      <w:pPr>
        <w:pStyle w:val="Compact"/>
        <w:numPr>
          <w:ilvl w:val="0"/>
          <w:numId w:val="1007"/>
        </w:numPr>
      </w:pPr>
      <w:r>
        <w:t xml:space="preserve">Delivery timeliness.</w:t>
      </w:r>
    </w:p>
    <w:p>
      <w:pPr>
        <w:pStyle w:val="Compact"/>
        <w:numPr>
          <w:ilvl w:val="0"/>
          <w:numId w:val="1007"/>
        </w:numPr>
      </w:pPr>
      <w:r>
        <w:t xml:space="preserve">Product quality.</w:t>
      </w:r>
    </w:p>
    <w:p>
      <w:pPr>
        <w:pStyle w:val="Compact"/>
        <w:numPr>
          <w:ilvl w:val="0"/>
          <w:numId w:val="1007"/>
        </w:numPr>
      </w:pPr>
      <w:r>
        <w:t xml:space="preserve">Contract compliance.</w:t>
      </w:r>
    </w:p>
    <w:p>
      <w:pPr>
        <w:pStyle w:val="Compact"/>
        <w:numPr>
          <w:ilvl w:val="0"/>
          <w:numId w:val="1007"/>
        </w:numPr>
      </w:pPr>
      <w:r>
        <w:t xml:space="preserve">Responsiveness.</w:t>
      </w:r>
    </w:p>
    <w:p>
      <w:pPr>
        <w:pStyle w:val="Compact"/>
        <w:numPr>
          <w:ilvl w:val="0"/>
          <w:numId w:val="1007"/>
        </w:numPr>
      </w:pPr>
      <w:r>
        <w:t xml:space="preserve">Completion rates.</w:t>
      </w:r>
    </w:p>
    <w:p>
      <w:pPr>
        <w:pStyle w:val="FirstParagraph"/>
      </w:pPr>
      <w:r>
        <w:t xml:space="preserve">These indicators support continuous improvement and future procurement planning.</w:t>
      </w:r>
    </w:p>
    <w:p>
      <w:r>
        <w:pict>
          <v:rect style="width:0;height:1.5pt" o:hralign="center" o:hrstd="t" o:hr="t"/>
        </w:pict>
      </w:r>
    </w:p>
    <w:bookmarkEnd w:id="31"/>
    <w:bookmarkStart w:id="32" w:name="documentation"/>
    <w:p>
      <w:pPr>
        <w:pStyle w:val="Heading2"/>
      </w:pPr>
      <w:r>
        <w:t xml:space="preserve">Documentation</w:t>
      </w:r>
    </w:p>
    <w:p>
      <w:pPr>
        <w:pStyle w:val="FirstParagraph"/>
      </w:pPr>
      <w:r>
        <w:t xml:space="preserve">Procurement generates extensive documentation, including:</w:t>
      </w:r>
    </w:p>
    <w:p>
      <w:pPr>
        <w:pStyle w:val="Compact"/>
        <w:numPr>
          <w:ilvl w:val="0"/>
          <w:numId w:val="1008"/>
        </w:numPr>
      </w:pPr>
      <w:r>
        <w:t xml:space="preserve">Procurement plans.</w:t>
      </w:r>
    </w:p>
    <w:p>
      <w:pPr>
        <w:pStyle w:val="Compact"/>
        <w:numPr>
          <w:ilvl w:val="0"/>
          <w:numId w:val="1008"/>
        </w:numPr>
      </w:pPr>
      <w:r>
        <w:t xml:space="preserve">Technical specifications.</w:t>
      </w:r>
    </w:p>
    <w:p>
      <w:pPr>
        <w:pStyle w:val="Compact"/>
        <w:numPr>
          <w:ilvl w:val="0"/>
          <w:numId w:val="1008"/>
        </w:numPr>
      </w:pPr>
      <w:r>
        <w:t xml:space="preserve">Bid documents.</w:t>
      </w:r>
    </w:p>
    <w:p>
      <w:pPr>
        <w:pStyle w:val="Compact"/>
        <w:numPr>
          <w:ilvl w:val="0"/>
          <w:numId w:val="1008"/>
        </w:numPr>
      </w:pPr>
      <w:r>
        <w:t xml:space="preserve">Evaluation reports.</w:t>
      </w:r>
    </w:p>
    <w:p>
      <w:pPr>
        <w:pStyle w:val="Compact"/>
        <w:numPr>
          <w:ilvl w:val="0"/>
          <w:numId w:val="1008"/>
        </w:numPr>
      </w:pPr>
      <w:r>
        <w:t xml:space="preserve">Contracts.</w:t>
      </w:r>
    </w:p>
    <w:p>
      <w:pPr>
        <w:pStyle w:val="Compact"/>
        <w:numPr>
          <w:ilvl w:val="0"/>
          <w:numId w:val="1008"/>
        </w:numPr>
      </w:pPr>
      <w:r>
        <w:t xml:space="preserve">Delivery certificates.</w:t>
      </w:r>
    </w:p>
    <w:p>
      <w:pPr>
        <w:pStyle w:val="Compact"/>
        <w:numPr>
          <w:ilvl w:val="0"/>
          <w:numId w:val="1008"/>
        </w:numPr>
      </w:pPr>
      <w:r>
        <w:t xml:space="preserve">Payment documentation.</w:t>
      </w:r>
    </w:p>
    <w:p>
      <w:pPr>
        <w:pStyle w:val="FirstParagraph"/>
      </w:pPr>
      <w:r>
        <w:t xml:space="preserve">A digital document management system reduces the administrative burden of storing and retrieving these records.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4" w:name="digital-procurement-opportunities"/>
    <w:p>
      <w:pPr>
        <w:pStyle w:val="Heading1"/>
      </w:pPr>
      <w:r>
        <w:t xml:space="preserve">4.6 Digital Procurement Opportunities</w:t>
      </w:r>
    </w:p>
    <w:p>
      <w:pPr>
        <w:pStyle w:val="FirstParagraph"/>
      </w:pPr>
      <w:r>
        <w:t xml:space="preserve">EduOS Cameroon introduces capabilities such as:</w:t>
      </w:r>
    </w:p>
    <w:p>
      <w:pPr>
        <w:pStyle w:val="Compact"/>
        <w:numPr>
          <w:ilvl w:val="0"/>
          <w:numId w:val="1009"/>
        </w:numPr>
      </w:pPr>
      <w:r>
        <w:t xml:space="preserve">Digital procurement planning.</w:t>
      </w:r>
    </w:p>
    <w:p>
      <w:pPr>
        <w:pStyle w:val="Compact"/>
        <w:numPr>
          <w:ilvl w:val="0"/>
          <w:numId w:val="1009"/>
        </w:numPr>
      </w:pPr>
      <w:r>
        <w:t xml:space="preserve">Supplier registry.</w:t>
      </w:r>
    </w:p>
    <w:p>
      <w:pPr>
        <w:pStyle w:val="Compact"/>
        <w:numPr>
          <w:ilvl w:val="0"/>
          <w:numId w:val="1009"/>
        </w:numPr>
      </w:pPr>
      <w:r>
        <w:t xml:space="preserve">Contract register.</w:t>
      </w:r>
    </w:p>
    <w:p>
      <w:pPr>
        <w:pStyle w:val="Compact"/>
        <w:numPr>
          <w:ilvl w:val="0"/>
          <w:numId w:val="1009"/>
        </w:numPr>
      </w:pPr>
      <w:r>
        <w:t xml:space="preserve">Milestone tracking.</w:t>
      </w:r>
    </w:p>
    <w:p>
      <w:pPr>
        <w:pStyle w:val="Compact"/>
        <w:numPr>
          <w:ilvl w:val="0"/>
          <w:numId w:val="1009"/>
        </w:numPr>
      </w:pPr>
      <w:r>
        <w:t xml:space="preserve">Electronic document repository.</w:t>
      </w:r>
    </w:p>
    <w:p>
      <w:pPr>
        <w:pStyle w:val="Compact"/>
        <w:numPr>
          <w:ilvl w:val="0"/>
          <w:numId w:val="1009"/>
        </w:numPr>
      </w:pPr>
      <w:r>
        <w:t xml:space="preserve">Delivery verification.</w:t>
      </w:r>
    </w:p>
    <w:p>
      <w:pPr>
        <w:pStyle w:val="Compact"/>
        <w:numPr>
          <w:ilvl w:val="0"/>
          <w:numId w:val="1009"/>
        </w:numPr>
      </w:pPr>
      <w:r>
        <w:t xml:space="preserve">Automated reminders.</w:t>
      </w:r>
    </w:p>
    <w:p>
      <w:pPr>
        <w:pStyle w:val="Compact"/>
        <w:numPr>
          <w:ilvl w:val="0"/>
          <w:numId w:val="1009"/>
        </w:numPr>
      </w:pPr>
      <w:r>
        <w:t xml:space="preserve">Performance scorecards.</w:t>
      </w:r>
    </w:p>
    <w:p>
      <w:pPr>
        <w:pStyle w:val="Compact"/>
        <w:numPr>
          <w:ilvl w:val="0"/>
          <w:numId w:val="1009"/>
        </w:numPr>
      </w:pPr>
      <w:r>
        <w:t xml:space="preserve">Executive procurement dashboards.</w:t>
      </w:r>
    </w:p>
    <w:p>
      <w:pPr>
        <w:pStyle w:val="FirstParagraph"/>
      </w:pPr>
      <w:r>
        <w:t xml:space="preserve">These capabilities complement existing procurement procedures and support more efficient administration.</w:t>
      </w:r>
    </w:p>
    <w:p>
      <w:r>
        <w:pict>
          <v:rect style="width:0;height:1.5pt" o:hralign="center" o:hrstd="t" o:hr="t"/>
        </w:pict>
      </w:r>
    </w:p>
    <w:bookmarkEnd w:id="34"/>
    <w:bookmarkStart w:id="35" w:name="Xc013c4dc680db407118f8732e0365eca76a1288"/>
    <w:p>
      <w:pPr>
        <w:pStyle w:val="Heading1"/>
      </w:pPr>
      <w:r>
        <w:t xml:space="preserve">4.7 Integration Across the Resource Lifecycle</w:t>
      </w:r>
    </w:p>
    <w:p>
      <w:pPr>
        <w:pStyle w:val="FirstParagraph"/>
      </w:pPr>
      <w:r>
        <w:t xml:space="preserve">Procurement information should connect directly with other operational modules.</w:t>
      </w:r>
    </w:p>
    <w:p>
      <w:pPr>
        <w:pStyle w:val="BodyText"/>
      </w:pPr>
      <w:r>
        <w:t xml:space="preserve">For example:</w:t>
      </w:r>
    </w:p>
    <w:p>
      <w:pPr>
        <w:pStyle w:val="Compact"/>
        <w:numPr>
          <w:ilvl w:val="0"/>
          <w:numId w:val="1010"/>
        </w:numPr>
      </w:pPr>
      <w:r>
        <w:t xml:space="preserve">Approved procurement plans inform warehouse preparation.</w:t>
      </w:r>
    </w:p>
    <w:p>
      <w:pPr>
        <w:pStyle w:val="Compact"/>
        <w:numPr>
          <w:ilvl w:val="0"/>
          <w:numId w:val="1010"/>
        </w:numPr>
      </w:pPr>
      <w:r>
        <w:t xml:space="preserve">Delivery confirmations update inventory records.</w:t>
      </w:r>
    </w:p>
    <w:p>
      <w:pPr>
        <w:pStyle w:val="Compact"/>
        <w:numPr>
          <w:ilvl w:val="0"/>
          <w:numId w:val="1010"/>
        </w:numPr>
      </w:pPr>
      <w:r>
        <w:t xml:space="preserve">School receipt confirmations complete supply chain records.</w:t>
      </w:r>
    </w:p>
    <w:p>
      <w:pPr>
        <w:pStyle w:val="Compact"/>
        <w:numPr>
          <w:ilvl w:val="0"/>
          <w:numId w:val="1010"/>
        </w:numPr>
      </w:pPr>
      <w:r>
        <w:t xml:space="preserve">Inventory consumption informs future demand forecasts.</w:t>
      </w:r>
    </w:p>
    <w:p>
      <w:pPr>
        <w:pStyle w:val="FirstParagraph"/>
      </w:pPr>
      <w:r>
        <w:t xml:space="preserve">This integrated approach reduces duplicate data entry and improves planning accuracy.</w:t>
      </w:r>
    </w:p>
    <w:p>
      <w:r>
        <w:pict>
          <v:rect style="width:0;height:1.5pt" o:hralign="center" o:hrstd="t" o:hr="t"/>
        </w:pict>
      </w:r>
    </w:p>
    <w:bookmarkEnd w:id="35"/>
    <w:bookmarkStart w:id="42" w:name="functional-requirements"/>
    <w:p>
      <w:pPr>
        <w:pStyle w:val="Heading1"/>
      </w:pPr>
      <w:r>
        <w:t xml:space="preserve">4.8 Functional Requirements</w:t>
      </w:r>
    </w:p>
    <w:p>
      <w:pPr>
        <w:pStyle w:val="FirstParagraph"/>
      </w:pPr>
      <w:r>
        <w:t xml:space="preserve">Illustrative requirements include:</w:t>
      </w:r>
    </w:p>
    <w:bookmarkStart w:id="36" w:name="fr-proc-001"/>
    <w:p>
      <w:pPr>
        <w:pStyle w:val="Heading3"/>
      </w:pPr>
      <w:r>
        <w:t xml:space="preserve">FR-PROC-001</w:t>
      </w:r>
    </w:p>
    <w:p>
      <w:pPr>
        <w:pStyle w:val="FirstParagraph"/>
      </w:pPr>
      <w:r>
        <w:t xml:space="preserve">Maintain a centralized procurement plan.</w:t>
      </w:r>
    </w:p>
    <w:p>
      <w:r>
        <w:pict>
          <v:rect style="width:0;height:1.5pt" o:hralign="center" o:hrstd="t" o:hr="t"/>
        </w:pict>
      </w:r>
    </w:p>
    <w:bookmarkEnd w:id="36"/>
    <w:bookmarkStart w:id="37" w:name="fr-proc-002"/>
    <w:p>
      <w:pPr>
        <w:pStyle w:val="Heading3"/>
      </w:pPr>
      <w:r>
        <w:t xml:space="preserve">FR-PROC-002</w:t>
      </w:r>
    </w:p>
    <w:p>
      <w:pPr>
        <w:pStyle w:val="FirstParagraph"/>
      </w:pPr>
      <w:r>
        <w:t xml:space="preserve">Manage supplier profiles and contract information.</w:t>
      </w:r>
    </w:p>
    <w:p>
      <w:r>
        <w:pict>
          <v:rect style="width:0;height:1.5pt" o:hralign="center" o:hrstd="t" o:hr="t"/>
        </w:pict>
      </w:r>
    </w:p>
    <w:bookmarkEnd w:id="37"/>
    <w:bookmarkStart w:id="38" w:name="fr-proc-003"/>
    <w:p>
      <w:pPr>
        <w:pStyle w:val="Heading3"/>
      </w:pPr>
      <w:r>
        <w:t xml:space="preserve">FR-PROC-003</w:t>
      </w:r>
    </w:p>
    <w:p>
      <w:pPr>
        <w:pStyle w:val="FirstParagraph"/>
      </w:pPr>
      <w:r>
        <w:t xml:space="preserve">Track production and delivery milestones.</w:t>
      </w:r>
    </w:p>
    <w:p>
      <w:r>
        <w:pict>
          <v:rect style="width:0;height:1.5pt" o:hralign="center" o:hrstd="t" o:hr="t"/>
        </w:pict>
      </w:r>
    </w:p>
    <w:bookmarkEnd w:id="38"/>
    <w:bookmarkStart w:id="39" w:name="fr-proc-004"/>
    <w:p>
      <w:pPr>
        <w:pStyle w:val="Heading3"/>
      </w:pPr>
      <w:r>
        <w:t xml:space="preserve">FR-PROC-004</w:t>
      </w:r>
    </w:p>
    <w:p>
      <w:pPr>
        <w:pStyle w:val="FirstParagraph"/>
      </w:pPr>
      <w:r>
        <w:t xml:space="preserve">Store procurement documents securely.</w:t>
      </w:r>
    </w:p>
    <w:p>
      <w:r>
        <w:pict>
          <v:rect style="width:0;height:1.5pt" o:hralign="center" o:hrstd="t" o:hr="t"/>
        </w:pict>
      </w:r>
    </w:p>
    <w:bookmarkEnd w:id="39"/>
    <w:bookmarkStart w:id="40" w:name="fr-proc-005"/>
    <w:p>
      <w:pPr>
        <w:pStyle w:val="Heading3"/>
      </w:pPr>
      <w:r>
        <w:t xml:space="preserve">FR-PROC-005</w:t>
      </w:r>
    </w:p>
    <w:p>
      <w:pPr>
        <w:pStyle w:val="FirstParagraph"/>
      </w:pPr>
      <w:r>
        <w:t xml:space="preserve">Generate procurement performance reports.</w:t>
      </w:r>
    </w:p>
    <w:p>
      <w:r>
        <w:pict>
          <v:rect style="width:0;height:1.5pt" o:hralign="center" o:hrstd="t" o:hr="t"/>
        </w:pict>
      </w:r>
    </w:p>
    <w:bookmarkEnd w:id="40"/>
    <w:bookmarkStart w:id="41" w:name="fr-proc-006"/>
    <w:p>
      <w:pPr>
        <w:pStyle w:val="Heading3"/>
      </w:pPr>
      <w:r>
        <w:t xml:space="preserve">FR-PROC-006</w:t>
      </w:r>
    </w:p>
    <w:p>
      <w:pPr>
        <w:pStyle w:val="FirstParagraph"/>
      </w:pPr>
      <w:r>
        <w:t xml:space="preserve">Integrate procurement data with warehouse, inventory, finance (where applicable), and analytics modules.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3" w:name="expected-benefits"/>
    <w:p>
      <w:pPr>
        <w:pStyle w:val="Heading1"/>
      </w:pPr>
      <w:r>
        <w:t xml:space="preserve">4.9 Expected Benefits</w:t>
      </w:r>
    </w:p>
    <w:p>
      <w:pPr>
        <w:pStyle w:val="FirstParagraph"/>
      </w:pPr>
      <w:r>
        <w:t xml:space="preserve">A digitally supported procurement process is expected to contribute to:</w:t>
      </w:r>
    </w:p>
    <w:p>
      <w:pPr>
        <w:pStyle w:val="Compact"/>
        <w:numPr>
          <w:ilvl w:val="0"/>
          <w:numId w:val="1011"/>
        </w:numPr>
      </w:pPr>
      <w:r>
        <w:t xml:space="preserve">Better planning.</w:t>
      </w:r>
    </w:p>
    <w:p>
      <w:pPr>
        <w:pStyle w:val="Compact"/>
        <w:numPr>
          <w:ilvl w:val="0"/>
          <w:numId w:val="1011"/>
        </w:numPr>
      </w:pPr>
      <w:r>
        <w:t xml:space="preserve">Improved visibility into contract implementation.</w:t>
      </w:r>
    </w:p>
    <w:p>
      <w:pPr>
        <w:pStyle w:val="Compact"/>
        <w:numPr>
          <w:ilvl w:val="0"/>
          <w:numId w:val="1011"/>
        </w:numPr>
      </w:pPr>
      <w:r>
        <w:t xml:space="preserve">Faster access to procurement information.</w:t>
      </w:r>
    </w:p>
    <w:p>
      <w:pPr>
        <w:pStyle w:val="Compact"/>
        <w:numPr>
          <w:ilvl w:val="0"/>
          <w:numId w:val="1011"/>
        </w:numPr>
      </w:pPr>
      <w:r>
        <w:t xml:space="preserve">Stronger document management.</w:t>
      </w:r>
    </w:p>
    <w:p>
      <w:pPr>
        <w:pStyle w:val="Compact"/>
        <w:numPr>
          <w:ilvl w:val="0"/>
          <w:numId w:val="1011"/>
        </w:numPr>
      </w:pPr>
      <w:r>
        <w:t xml:space="preserve">Improved supplier performance monitoring.</w:t>
      </w:r>
    </w:p>
    <w:p>
      <w:pPr>
        <w:pStyle w:val="Compact"/>
        <w:numPr>
          <w:ilvl w:val="0"/>
          <w:numId w:val="1011"/>
        </w:numPr>
      </w:pPr>
      <w:r>
        <w:t xml:space="preserve">Enhanced transparency.</w:t>
      </w:r>
    </w:p>
    <w:p>
      <w:pPr>
        <w:pStyle w:val="Compact"/>
        <w:numPr>
          <w:ilvl w:val="0"/>
          <w:numId w:val="1011"/>
        </w:numPr>
      </w:pPr>
      <w:r>
        <w:t xml:space="preserve">Better preparation for audits.</w:t>
      </w:r>
    </w:p>
    <w:p>
      <w:pPr>
        <w:pStyle w:val="FirstParagraph"/>
      </w:pPr>
      <w:r>
        <w:t xml:space="preserve">The magnitude of these benefits depends on implementation quality, governance, and user adoption.</w:t>
      </w:r>
    </w:p>
    <w:p>
      <w:r>
        <w:pict>
          <v:rect style="width:0;height:1.5pt" o:hralign="center" o:hrstd="t" o:hr="t"/>
        </w:pict>
      </w:r>
    </w:p>
    <w:bookmarkEnd w:id="43"/>
    <w:bookmarkStart w:id="44" w:name="chapter-summary"/>
    <w:p>
      <w:pPr>
        <w:pStyle w:val="Heading1"/>
      </w:pPr>
      <w:r>
        <w:t xml:space="preserve">4.10 Chapter Summary</w:t>
      </w:r>
    </w:p>
    <w:p>
      <w:pPr>
        <w:pStyle w:val="FirstParagraph"/>
      </w:pPr>
      <w:r>
        <w:t xml:space="preserve">Procurement is the foundation of the textbook supply chain.</w:t>
      </w:r>
    </w:p>
    <w:p>
      <w:pPr>
        <w:pStyle w:val="BodyText"/>
      </w:pPr>
      <w:r>
        <w:t xml:space="preserve">Strengthening procurement through integrated digital planning, contract management, supplier performance monitoring, and secure document management enhances accountability and supports efficient delivery of educational resources.</w:t>
      </w:r>
    </w:p>
    <w:p>
      <w:pPr>
        <w:pStyle w:val="BodyText"/>
      </w:pPr>
      <w:r>
        <w:t xml:space="preserve">EduOS Cameroon provides a platform capable of linking procurement activities with warehousing, distribution, school operations, and analytics, creating a continuous flow of operational information throughout the education resource lifecycle.</w:t>
      </w:r>
    </w:p>
    <w:p>
      <w:pPr>
        <w:pStyle w:val="BodyText"/>
      </w:pPr>
      <w:r>
        <w:t xml:space="preserve">The next chapter examines national warehouse and inventory management, focusing on how digital technologies can improve stock visibility, storage operations, inventory accuracy, and regional distribution planning.</w:t>
      </w:r>
    </w:p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2026-07-10T14:15:27Z</dcterms:created>
  <dcterms:modified xsi:type="dcterms:W3CDTF">2026-07-10T14:15:27Z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