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9"/>
    <w:p>
      <w:pPr>
        <w:pStyle w:val="Heading1"/>
      </w:pPr>
      <w:r>
        <w:t xml:space="preserve">CHAPTER 19</w:t>
      </w:r>
    </w:p>
    <w:bookmarkEnd w:id="20"/>
    <w:bookmarkStart w:id="22" w:name="Xf87983757b840c75170c1322f8718d5e0a476a5"/>
    <w:p>
      <w:pPr>
        <w:pStyle w:val="Heading1"/>
      </w:pPr>
      <w:r>
        <w:t xml:space="preserve">ENTERPRISE ARCHITECTURE OF EDUOS CAMEROON</w:t>
      </w:r>
    </w:p>
    <w:bookmarkStart w:id="21" w:name="introduction"/>
    <w:p>
      <w:pPr>
        <w:pStyle w:val="Heading2"/>
      </w:pPr>
      <w:r>
        <w:t xml:space="preserve">19.1 Introduction</w:t>
      </w:r>
    </w:p>
    <w:p>
      <w:pPr>
        <w:pStyle w:val="FirstParagraph"/>
      </w:pPr>
      <w:r>
        <w:t xml:space="preserve">EduOS Cameroon is conceived as a National Education Digital Public Infrastructure rather than a standalone software application.</w:t>
      </w:r>
    </w:p>
    <w:p>
      <w:pPr>
        <w:pStyle w:val="BodyText"/>
      </w:pPr>
      <w:r>
        <w:t xml:space="preserve">The platform is designed to support multiple education programmes, institutions, administrative levels, and digital services through a modular, interoperable, secure, and scalable enterprise architecture.</w:t>
      </w:r>
    </w:p>
    <w:p>
      <w:pPr>
        <w:pStyle w:val="BodyText"/>
      </w:pPr>
      <w:r>
        <w:t xml:space="preserve">Its design enables gradual implementation while maintaining operational continuity, supporting future expansion, and protecting existing technology investments.</w:t>
      </w:r>
    </w:p>
    <w:p>
      <w:pPr>
        <w:pStyle w:val="BodyText"/>
      </w:pPr>
      <w:r>
        <w:t xml:space="preserve">The architecture follows internationally recognized enterprise architecture principles while being adapted to Cameroon’s operational realities, including variable internet connectivity, distributed education administration, and long-term sustainability.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enterprise-architecture-vision"/>
    <w:p>
      <w:pPr>
        <w:pStyle w:val="Heading1"/>
      </w:pPr>
      <w:r>
        <w:t xml:space="preserve">19.2 Enterprise Architecture Vision</w:t>
      </w:r>
    </w:p>
    <w:p>
      <w:pPr>
        <w:pStyle w:val="FirstParagraph"/>
      </w:pPr>
      <w:r>
        <w:t xml:space="preserve">The architecture is built around five strategic principles:</w:t>
      </w:r>
    </w:p>
    <w:bookmarkStart w:id="23" w:name="modular"/>
    <w:p>
      <w:pPr>
        <w:pStyle w:val="Heading3"/>
      </w:pPr>
      <w:r>
        <w:t xml:space="preserve">Modular</w:t>
      </w:r>
    </w:p>
    <w:p>
      <w:pPr>
        <w:pStyle w:val="FirstParagraph"/>
      </w:pPr>
      <w:r>
        <w:t xml:space="preserve">Every module can operate independently while integrating seamlessly with the wider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interoperable"/>
    <w:p>
      <w:pPr>
        <w:pStyle w:val="Heading3"/>
      </w:pPr>
      <w:r>
        <w:t xml:space="preserve">Interoperable</w:t>
      </w:r>
    </w:p>
    <w:p>
      <w:pPr>
        <w:pStyle w:val="FirstParagraph"/>
      </w:pPr>
      <w:r>
        <w:t xml:space="preserve">Modules exchange information through standardized APIs and governed interoperability services.</w:t>
      </w:r>
    </w:p>
    <w:p>
      <w:r>
        <w:pict>
          <v:rect style="width:0;height:1.5pt" o:hralign="center" o:hrstd="t" o:hr="t"/>
        </w:pict>
      </w:r>
    </w:p>
    <w:bookmarkEnd w:id="24"/>
    <w:bookmarkStart w:id="25" w:name="offline-first"/>
    <w:p>
      <w:pPr>
        <w:pStyle w:val="Heading3"/>
      </w:pPr>
      <w:r>
        <w:t xml:space="preserve">Offline-First</w:t>
      </w:r>
    </w:p>
    <w:p>
      <w:pPr>
        <w:pStyle w:val="FirstParagraph"/>
      </w:pPr>
      <w:r>
        <w:t xml:space="preserve">Schools and field teams remain operational regardless of internet availability.</w:t>
      </w:r>
    </w:p>
    <w:p>
      <w:r>
        <w:pict>
          <v:rect style="width:0;height:1.5pt" o:hralign="center" o:hrstd="t" o:hr="t"/>
        </w:pict>
      </w:r>
    </w:p>
    <w:bookmarkEnd w:id="25"/>
    <w:bookmarkStart w:id="26" w:name="secure-by-design"/>
    <w:p>
      <w:pPr>
        <w:pStyle w:val="Heading3"/>
      </w:pPr>
      <w:r>
        <w:t xml:space="preserve">Secure by Design</w:t>
      </w:r>
    </w:p>
    <w:p>
      <w:pPr>
        <w:pStyle w:val="FirstParagraph"/>
      </w:pPr>
      <w:r>
        <w:t xml:space="preserve">Security, identity, auditability, and governance are integrated into every architectural layer rather than added afterwards.</w:t>
      </w:r>
    </w:p>
    <w:p>
      <w:r>
        <w:pict>
          <v:rect style="width:0;height:1.5pt" o:hralign="center" o:hrstd="t" o:hr="t"/>
        </w:pict>
      </w:r>
    </w:p>
    <w:bookmarkEnd w:id="26"/>
    <w:bookmarkStart w:id="27" w:name="scalable"/>
    <w:p>
      <w:pPr>
        <w:pStyle w:val="Heading3"/>
      </w:pPr>
      <w:r>
        <w:t xml:space="preserve">Scalable</w:t>
      </w:r>
    </w:p>
    <w:p>
      <w:pPr>
        <w:pStyle w:val="FirstParagraph"/>
      </w:pPr>
      <w:r>
        <w:t xml:space="preserve">The platform supports expansion from pilot implementations to nationwide deployment without fundamental architectural redesign.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terprise-architecture-layers"/>
    <w:p>
      <w:pPr>
        <w:pStyle w:val="Heading1"/>
      </w:pPr>
      <w:r>
        <w:t xml:space="preserve">19.3 Enterprise Architecture Layers</w:t>
      </w:r>
    </w:p>
    <w:p>
      <w:pPr>
        <w:pStyle w:val="FirstParagraph"/>
      </w:pPr>
      <w:r>
        <w:t xml:space="preserve">EduOS Cameroon consists of multiple interconnected architectural layers.</w:t>
      </w:r>
    </w:p>
    <w:p>
      <w:pPr>
        <w:pStyle w:val="BodyText"/>
      </w:pPr>
      <w:r>
        <w:rPr>
          <w:rStyle w:val="VerbatimChar"/>
        </w:rPr>
        <w:t xml:space="preserve">text id="ea001" National Users         │         ▼ Presentation Layer (Web • Mobile • Tablets • Dashboards)         │         ▼ Application Layer (EduOS Business Modules)         │         ▼ Integration Layer (API Gateway • Messaging • Synchronization)         │         ▼ Shared Platform Services (Identity • Notifications • Documents • AI)         │         ▼ Data Layer (Relational Databases • Analytics • Data Lake)         │         ▼ Infrastructure Layer (Cloud • Regional Nodes • School Devices)</w:t>
      </w:r>
    </w:p>
    <w:p>
      <w:pPr>
        <w:pStyle w:val="BodyText"/>
      </w:pPr>
      <w:r>
        <w:t xml:space="preserve">Each layer performs a distinct role while supporting the overall platform.</w:t>
      </w:r>
    </w:p>
    <w:p>
      <w:r>
        <w:pict>
          <v:rect style="width:0;height:1.5pt" o:hralign="center" o:hrstd="t" o:hr="t"/>
        </w:pict>
      </w:r>
    </w:p>
    <w:bookmarkEnd w:id="29"/>
    <w:bookmarkStart w:id="30" w:name="business-architecture"/>
    <w:p>
      <w:pPr>
        <w:pStyle w:val="Heading1"/>
      </w:pPr>
      <w:r>
        <w:t xml:space="preserve">19.4 Business Architecture</w:t>
      </w:r>
    </w:p>
    <w:p>
      <w:pPr>
        <w:pStyle w:val="FirstParagraph"/>
      </w:pPr>
      <w:r>
        <w:t xml:space="preserve">The Business Architecture represents how education processes operate across institutions.</w:t>
      </w:r>
    </w:p>
    <w:p>
      <w:pPr>
        <w:pStyle w:val="BodyText"/>
      </w:pPr>
      <w:r>
        <w:t xml:space="preserve">Major business domains include:</w:t>
      </w:r>
    </w:p>
    <w:p>
      <w:pPr>
        <w:pStyle w:val="Compact"/>
        <w:numPr>
          <w:ilvl w:val="0"/>
          <w:numId w:val="1001"/>
        </w:numPr>
      </w:pPr>
      <w:r>
        <w:t xml:space="preserve">Education Planning.</w:t>
      </w:r>
    </w:p>
    <w:p>
      <w:pPr>
        <w:pStyle w:val="Compact"/>
        <w:numPr>
          <w:ilvl w:val="0"/>
          <w:numId w:val="1001"/>
        </w:numPr>
      </w:pPr>
      <w:r>
        <w:t xml:space="preserve">Procurement.</w:t>
      </w:r>
    </w:p>
    <w:p>
      <w:pPr>
        <w:pStyle w:val="Compact"/>
        <w:numPr>
          <w:ilvl w:val="0"/>
          <w:numId w:val="1001"/>
        </w:numPr>
      </w:pPr>
      <w:r>
        <w:t xml:space="preserve">Warehousing.</w:t>
      </w:r>
    </w:p>
    <w:p>
      <w:pPr>
        <w:pStyle w:val="Compact"/>
        <w:numPr>
          <w:ilvl w:val="0"/>
          <w:numId w:val="1001"/>
        </w:numPr>
      </w:pPr>
      <w:r>
        <w:t xml:space="preserve">Logistics.</w:t>
      </w:r>
    </w:p>
    <w:p>
      <w:pPr>
        <w:pStyle w:val="Compact"/>
        <w:numPr>
          <w:ilvl w:val="0"/>
          <w:numId w:val="1001"/>
        </w:numPr>
      </w:pPr>
      <w:r>
        <w:t xml:space="preserve">School Operations.</w:t>
      </w:r>
    </w:p>
    <w:p>
      <w:pPr>
        <w:pStyle w:val="Compact"/>
        <w:numPr>
          <w:ilvl w:val="0"/>
          <w:numId w:val="1001"/>
        </w:numPr>
      </w:pPr>
      <w:r>
        <w:t xml:space="preserve">Asset Management.</w:t>
      </w:r>
    </w:p>
    <w:p>
      <w:pPr>
        <w:pStyle w:val="Compact"/>
        <w:numPr>
          <w:ilvl w:val="0"/>
          <w:numId w:val="1001"/>
        </w:numPr>
      </w:pPr>
      <w:r>
        <w:t xml:space="preserve">Inspections.</w:t>
      </w:r>
    </w:p>
    <w:p>
      <w:pPr>
        <w:pStyle w:val="Compact"/>
        <w:numPr>
          <w:ilvl w:val="0"/>
          <w:numId w:val="1001"/>
        </w:numPr>
      </w:pPr>
      <w:r>
        <w:t xml:space="preserve">Monitoring and Evaluation.</w:t>
      </w:r>
    </w:p>
    <w:p>
      <w:pPr>
        <w:pStyle w:val="Compact"/>
        <w:numPr>
          <w:ilvl w:val="0"/>
          <w:numId w:val="1001"/>
        </w:numPr>
      </w:pPr>
      <w:r>
        <w:t xml:space="preserve">Executive Intelligence.</w:t>
      </w:r>
    </w:p>
    <w:p>
      <w:pPr>
        <w:pStyle w:val="Compact"/>
        <w:numPr>
          <w:ilvl w:val="0"/>
          <w:numId w:val="1001"/>
        </w:numPr>
      </w:pPr>
      <w:r>
        <w:t xml:space="preserve">Emergency Coordination.</w:t>
      </w:r>
    </w:p>
    <w:p>
      <w:pPr>
        <w:pStyle w:val="Compact"/>
        <w:numPr>
          <w:ilvl w:val="0"/>
          <w:numId w:val="1001"/>
        </w:numPr>
      </w:pPr>
      <w:r>
        <w:t xml:space="preserve">AI Decision Support.</w:t>
      </w:r>
    </w:p>
    <w:p>
      <w:pPr>
        <w:pStyle w:val="FirstParagraph"/>
      </w:pPr>
      <w:r>
        <w:t xml:space="preserve">Each domain is implemented as a coordinated set of business capabilities.</w:t>
      </w:r>
    </w:p>
    <w:p>
      <w:r>
        <w:pict>
          <v:rect style="width:0;height:1.5pt" o:hralign="center" o:hrstd="t" o:hr="t"/>
        </w:pict>
      </w:r>
    </w:p>
    <w:bookmarkEnd w:id="30"/>
    <w:bookmarkStart w:id="31" w:name="application-architecture"/>
    <w:p>
      <w:pPr>
        <w:pStyle w:val="Heading1"/>
      </w:pPr>
      <w:r>
        <w:t xml:space="preserve">19.5 Application Architecture</w:t>
      </w:r>
    </w:p>
    <w:p>
      <w:pPr>
        <w:pStyle w:val="FirstParagraph"/>
      </w:pPr>
      <w:r>
        <w:t xml:space="preserve">EduOS Cameroon is organized as a collection of interoperable applications.</w:t>
      </w:r>
    </w:p>
    <w:p>
      <w:pPr>
        <w:pStyle w:val="BodyText"/>
      </w:pPr>
      <w:r>
        <w:t xml:space="preserve">Illustrative modules include:</w:t>
      </w:r>
    </w:p>
    <w:p>
      <w:pPr>
        <w:pStyle w:val="Compact"/>
        <w:numPr>
          <w:ilvl w:val="0"/>
          <w:numId w:val="1002"/>
        </w:numPr>
      </w:pPr>
      <w:r>
        <w:t xml:space="preserve">School Management.</w:t>
      </w:r>
    </w:p>
    <w:p>
      <w:pPr>
        <w:pStyle w:val="Compact"/>
        <w:numPr>
          <w:ilvl w:val="0"/>
          <w:numId w:val="1002"/>
        </w:numPr>
      </w:pPr>
      <w:r>
        <w:t xml:space="preserve">Student Registry.</w:t>
      </w:r>
    </w:p>
    <w:p>
      <w:pPr>
        <w:pStyle w:val="Compact"/>
        <w:numPr>
          <w:ilvl w:val="0"/>
          <w:numId w:val="1002"/>
        </w:numPr>
      </w:pPr>
      <w:r>
        <w:t xml:space="preserve">Teacher Registry.</w:t>
      </w:r>
    </w:p>
    <w:p>
      <w:pPr>
        <w:pStyle w:val="Compact"/>
        <w:numPr>
          <w:ilvl w:val="0"/>
          <w:numId w:val="1002"/>
        </w:numPr>
      </w:pPr>
      <w:r>
        <w:t xml:space="preserve">Textbook Management.</w:t>
      </w:r>
    </w:p>
    <w:p>
      <w:pPr>
        <w:pStyle w:val="Compact"/>
        <w:numPr>
          <w:ilvl w:val="0"/>
          <w:numId w:val="1002"/>
        </w:numPr>
      </w:pPr>
      <w:r>
        <w:t xml:space="preserve">Digital Textbook Passport.</w:t>
      </w:r>
    </w:p>
    <w:p>
      <w:pPr>
        <w:pStyle w:val="Compact"/>
        <w:numPr>
          <w:ilvl w:val="0"/>
          <w:numId w:val="1002"/>
        </w:numPr>
      </w:pPr>
      <w:r>
        <w:t xml:space="preserve">Asset Passport.</w:t>
      </w:r>
    </w:p>
    <w:p>
      <w:pPr>
        <w:pStyle w:val="Compact"/>
        <w:numPr>
          <w:ilvl w:val="0"/>
          <w:numId w:val="1002"/>
        </w:numPr>
      </w:pPr>
      <w:r>
        <w:t xml:space="preserve">Warehouse Management.</w:t>
      </w:r>
    </w:p>
    <w:p>
      <w:pPr>
        <w:pStyle w:val="Compact"/>
        <w:numPr>
          <w:ilvl w:val="0"/>
          <w:numId w:val="1002"/>
        </w:numPr>
      </w:pPr>
      <w:r>
        <w:t xml:space="preserve">Distribution Management.</w:t>
      </w:r>
    </w:p>
    <w:p>
      <w:pPr>
        <w:pStyle w:val="Compact"/>
        <w:numPr>
          <w:ilvl w:val="0"/>
          <w:numId w:val="1002"/>
        </w:numPr>
      </w:pPr>
      <w:r>
        <w:t xml:space="preserve">Procurement Management.</w:t>
      </w:r>
    </w:p>
    <w:p>
      <w:pPr>
        <w:pStyle w:val="Compact"/>
        <w:numPr>
          <w:ilvl w:val="0"/>
          <w:numId w:val="1002"/>
        </w:numPr>
      </w:pPr>
      <w:r>
        <w:t xml:space="preserve">Inspection Management.</w:t>
      </w:r>
    </w:p>
    <w:p>
      <w:pPr>
        <w:pStyle w:val="Compact"/>
        <w:numPr>
          <w:ilvl w:val="0"/>
          <w:numId w:val="1002"/>
        </w:numPr>
      </w:pPr>
      <w:r>
        <w:t xml:space="preserve">Monitoring and Evaluation.</w:t>
      </w:r>
    </w:p>
    <w:p>
      <w:pPr>
        <w:pStyle w:val="Compact"/>
        <w:numPr>
          <w:ilvl w:val="0"/>
          <w:numId w:val="1002"/>
        </w:numPr>
      </w:pPr>
      <w:r>
        <w:t xml:space="preserve">National Command Centre.</w:t>
      </w:r>
    </w:p>
    <w:p>
      <w:pPr>
        <w:pStyle w:val="Compact"/>
        <w:numPr>
          <w:ilvl w:val="0"/>
          <w:numId w:val="1002"/>
        </w:numPr>
      </w:pPr>
      <w:r>
        <w:t xml:space="preserve">Operations Centre.</w:t>
      </w:r>
    </w:p>
    <w:p>
      <w:pPr>
        <w:pStyle w:val="Compact"/>
        <w:numPr>
          <w:ilvl w:val="0"/>
          <w:numId w:val="1002"/>
        </w:numPr>
      </w:pPr>
      <w:r>
        <w:t xml:space="preserve">Situation Room.</w:t>
      </w:r>
    </w:p>
    <w:p>
      <w:pPr>
        <w:pStyle w:val="Compact"/>
        <w:numPr>
          <w:ilvl w:val="0"/>
          <w:numId w:val="1002"/>
        </w:numPr>
      </w:pPr>
      <w:r>
        <w:t xml:space="preserve">AI and Analytics.</w:t>
      </w:r>
    </w:p>
    <w:p>
      <w:pPr>
        <w:pStyle w:val="Compact"/>
        <w:numPr>
          <w:ilvl w:val="0"/>
          <w:numId w:val="1002"/>
        </w:numPr>
      </w:pPr>
      <w:r>
        <w:t xml:space="preserve">Digital Advisor.</w:t>
      </w:r>
    </w:p>
    <w:p>
      <w:pPr>
        <w:pStyle w:val="FirstParagraph"/>
      </w:pPr>
      <w:r>
        <w:t xml:space="preserve">Applications communicate through secure services rather than direct database connections.</w:t>
      </w:r>
    </w:p>
    <w:p>
      <w:r>
        <w:pict>
          <v:rect style="width:0;height:1.5pt" o:hralign="center" o:hrstd="t" o:hr="t"/>
        </w:pict>
      </w:r>
    </w:p>
    <w:bookmarkEnd w:id="31"/>
    <w:bookmarkStart w:id="32" w:name="shared-platform-services"/>
    <w:p>
      <w:pPr>
        <w:pStyle w:val="Heading1"/>
      </w:pPr>
      <w:r>
        <w:t xml:space="preserve">19.6 Shared Platform Services</w:t>
      </w:r>
    </w:p>
    <w:p>
      <w:pPr>
        <w:pStyle w:val="FirstParagraph"/>
      </w:pPr>
      <w:r>
        <w:t xml:space="preserve">To reduce duplication, common capabilities are provided as shared services.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03"/>
        </w:numPr>
      </w:pPr>
      <w:r>
        <w:t xml:space="preserve">Identity Management.</w:t>
      </w:r>
    </w:p>
    <w:p>
      <w:pPr>
        <w:pStyle w:val="Compact"/>
        <w:numPr>
          <w:ilvl w:val="0"/>
          <w:numId w:val="1003"/>
        </w:numPr>
      </w:pPr>
      <w:r>
        <w:t xml:space="preserve">Authentication.</w:t>
      </w:r>
    </w:p>
    <w:p>
      <w:pPr>
        <w:pStyle w:val="Compact"/>
        <w:numPr>
          <w:ilvl w:val="0"/>
          <w:numId w:val="1003"/>
        </w:numPr>
      </w:pPr>
      <w:r>
        <w:t xml:space="preserve">Authorization.</w:t>
      </w:r>
    </w:p>
    <w:p>
      <w:pPr>
        <w:pStyle w:val="Compact"/>
        <w:numPr>
          <w:ilvl w:val="0"/>
          <w:numId w:val="1003"/>
        </w:numPr>
      </w:pPr>
      <w:r>
        <w:t xml:space="preserve">Notification Service.</w:t>
      </w:r>
    </w:p>
    <w:p>
      <w:pPr>
        <w:pStyle w:val="Compact"/>
        <w:numPr>
          <w:ilvl w:val="0"/>
          <w:numId w:val="1003"/>
        </w:numPr>
      </w:pPr>
      <w:r>
        <w:t xml:space="preserve">QR and Barcode Service.</w:t>
      </w:r>
    </w:p>
    <w:p>
      <w:pPr>
        <w:pStyle w:val="Compact"/>
        <w:numPr>
          <w:ilvl w:val="0"/>
          <w:numId w:val="1003"/>
        </w:numPr>
      </w:pPr>
      <w:r>
        <w:t xml:space="preserve">Document Management.</w:t>
      </w:r>
    </w:p>
    <w:p>
      <w:pPr>
        <w:pStyle w:val="Compact"/>
        <w:numPr>
          <w:ilvl w:val="0"/>
          <w:numId w:val="1003"/>
        </w:numPr>
      </w:pPr>
      <w:r>
        <w:t xml:space="preserve">Reporting Engine.</w:t>
      </w:r>
    </w:p>
    <w:p>
      <w:pPr>
        <w:pStyle w:val="Compact"/>
        <w:numPr>
          <w:ilvl w:val="0"/>
          <w:numId w:val="1003"/>
        </w:numPr>
      </w:pPr>
      <w:r>
        <w:t xml:space="preserve">Workflow Engine.</w:t>
      </w:r>
    </w:p>
    <w:p>
      <w:pPr>
        <w:pStyle w:val="Compact"/>
        <w:numPr>
          <w:ilvl w:val="0"/>
          <w:numId w:val="1003"/>
        </w:numPr>
      </w:pPr>
      <w:r>
        <w:t xml:space="preserve">Search Service.</w:t>
      </w:r>
    </w:p>
    <w:p>
      <w:pPr>
        <w:pStyle w:val="Compact"/>
        <w:numPr>
          <w:ilvl w:val="0"/>
          <w:numId w:val="1003"/>
        </w:numPr>
      </w:pPr>
      <w:r>
        <w:t xml:space="preserve">Synchronization Service.</w:t>
      </w:r>
    </w:p>
    <w:p>
      <w:pPr>
        <w:pStyle w:val="Compact"/>
        <w:numPr>
          <w:ilvl w:val="0"/>
          <w:numId w:val="1003"/>
        </w:numPr>
      </w:pPr>
      <w:r>
        <w:t xml:space="preserve">Audit Service.</w:t>
      </w:r>
    </w:p>
    <w:p>
      <w:pPr>
        <w:pStyle w:val="Compact"/>
        <w:numPr>
          <w:ilvl w:val="0"/>
          <w:numId w:val="1003"/>
        </w:numPr>
      </w:pPr>
      <w:r>
        <w:t xml:space="preserve">AI Service.</w:t>
      </w:r>
    </w:p>
    <w:p>
      <w:pPr>
        <w:pStyle w:val="FirstParagraph"/>
      </w:pPr>
      <w:r>
        <w:t xml:space="preserve">Every application consumes these shared capabilities instead of implementing them independently.</w:t>
      </w:r>
    </w:p>
    <w:p>
      <w:r>
        <w:pict>
          <v:rect style="width:0;height:1.5pt" o:hralign="center" o:hrstd="t" o:hr="t"/>
        </w:pict>
      </w:r>
    </w:p>
    <w:bookmarkEnd w:id="32"/>
    <w:bookmarkStart w:id="33" w:name="integration-architecture"/>
    <w:p>
      <w:pPr>
        <w:pStyle w:val="Heading1"/>
      </w:pPr>
      <w:r>
        <w:t xml:space="preserve">19.7 Integration Architecture</w:t>
      </w:r>
    </w:p>
    <w:p>
      <w:pPr>
        <w:pStyle w:val="FirstParagraph"/>
      </w:pPr>
      <w:r>
        <w:t xml:space="preserve">Applications exchange information through a governed integration layer.</w:t>
      </w:r>
    </w:p>
    <w:p>
      <w:pPr>
        <w:pStyle w:val="BodyText"/>
      </w:pPr>
      <w:r>
        <w:t xml:space="preserve">Core components include:</w:t>
      </w:r>
    </w:p>
    <w:p>
      <w:pPr>
        <w:pStyle w:val="Compact"/>
        <w:numPr>
          <w:ilvl w:val="0"/>
          <w:numId w:val="1004"/>
        </w:numPr>
      </w:pPr>
      <w:r>
        <w:t xml:space="preserve">API Gateway.</w:t>
      </w:r>
    </w:p>
    <w:p>
      <w:pPr>
        <w:pStyle w:val="Compact"/>
        <w:numPr>
          <w:ilvl w:val="0"/>
          <w:numId w:val="1004"/>
        </w:numPr>
      </w:pPr>
      <w:r>
        <w:t xml:space="preserve">Service Registry.</w:t>
      </w:r>
    </w:p>
    <w:p>
      <w:pPr>
        <w:pStyle w:val="Compact"/>
        <w:numPr>
          <w:ilvl w:val="0"/>
          <w:numId w:val="1004"/>
        </w:numPr>
      </w:pPr>
      <w:r>
        <w:t xml:space="preserve">Event Messaging.</w:t>
      </w:r>
    </w:p>
    <w:p>
      <w:pPr>
        <w:pStyle w:val="Compact"/>
        <w:numPr>
          <w:ilvl w:val="0"/>
          <w:numId w:val="1004"/>
        </w:numPr>
      </w:pPr>
      <w:r>
        <w:t xml:space="preserve">Synchronization Engine.</w:t>
      </w:r>
    </w:p>
    <w:p>
      <w:pPr>
        <w:pStyle w:val="Compact"/>
        <w:numPr>
          <w:ilvl w:val="0"/>
          <w:numId w:val="1004"/>
        </w:numPr>
      </w:pPr>
      <w:r>
        <w:t xml:space="preserve">Data Validation.</w:t>
      </w:r>
    </w:p>
    <w:p>
      <w:pPr>
        <w:pStyle w:val="Compact"/>
        <w:numPr>
          <w:ilvl w:val="0"/>
          <w:numId w:val="1004"/>
        </w:numPr>
      </w:pPr>
      <w:r>
        <w:t xml:space="preserve">Monitoring Services.</w:t>
      </w:r>
    </w:p>
    <w:p>
      <w:pPr>
        <w:pStyle w:val="FirstParagraph"/>
      </w:pPr>
      <w:r>
        <w:t xml:space="preserve">This approach allows future systems to integrate without disrupting existing services.</w:t>
      </w:r>
    </w:p>
    <w:p>
      <w:r>
        <w:pict>
          <v:rect style="width:0;height:1.5pt" o:hralign="center" o:hrstd="t" o:hr="t"/>
        </w:pict>
      </w:r>
    </w:p>
    <w:bookmarkEnd w:id="33"/>
    <w:bookmarkStart w:id="34" w:name="offline-synchronization-architecture"/>
    <w:p>
      <w:pPr>
        <w:pStyle w:val="Heading1"/>
      </w:pPr>
      <w:r>
        <w:t xml:space="preserve">19.8 Offline Synchronization Architecture</w:t>
      </w:r>
    </w:p>
    <w:p>
      <w:pPr>
        <w:pStyle w:val="FirstParagraph"/>
      </w:pPr>
      <w:r>
        <w:t xml:space="preserve">A defining characteristic of EduOS Cameroon is its offline-first capability.</w:t>
      </w:r>
    </w:p>
    <w:p>
      <w:pPr>
        <w:pStyle w:val="BodyText"/>
      </w:pPr>
      <w:r>
        <w:rPr>
          <w:rStyle w:val="VerbatimChar"/>
        </w:rPr>
        <w:t xml:space="preserve">text id="ea002" School Device (SQLite / Local Storage)         │ Offline Operation         │ Automatic Synchronization         │ Regional Services         │ National Platform</w:t>
      </w:r>
    </w:p>
    <w:p>
      <w:pPr>
        <w:pStyle w:val="BodyText"/>
      </w:pPr>
      <w:r>
        <w:t xml:space="preserve">During connectivity interruptions:</w:t>
      </w:r>
    </w:p>
    <w:p>
      <w:pPr>
        <w:pStyle w:val="Compact"/>
        <w:numPr>
          <w:ilvl w:val="0"/>
          <w:numId w:val="1005"/>
        </w:numPr>
      </w:pPr>
      <w:r>
        <w:t xml:space="preserve">Schools continue operating.</w:t>
      </w:r>
    </w:p>
    <w:p>
      <w:pPr>
        <w:pStyle w:val="Compact"/>
        <w:numPr>
          <w:ilvl w:val="0"/>
          <w:numId w:val="1005"/>
        </w:numPr>
      </w:pPr>
      <w:r>
        <w:t xml:space="preserve">Transactions are stored locally.</w:t>
      </w:r>
    </w:p>
    <w:p>
      <w:pPr>
        <w:pStyle w:val="Compact"/>
        <w:numPr>
          <w:ilvl w:val="0"/>
          <w:numId w:val="1005"/>
        </w:numPr>
      </w:pPr>
      <w:r>
        <w:t xml:space="preserve">Data integrity is maintained.</w:t>
      </w:r>
    </w:p>
    <w:p>
      <w:pPr>
        <w:pStyle w:val="Compact"/>
        <w:numPr>
          <w:ilvl w:val="0"/>
          <w:numId w:val="1005"/>
        </w:numPr>
      </w:pPr>
      <w:r>
        <w:t xml:space="preserve">Synchronization occurs automatically once connectivity is restored.</w:t>
      </w:r>
    </w:p>
    <w:p>
      <w:r>
        <w:pict>
          <v:rect style="width:0;height:1.5pt" o:hralign="center" o:hrstd="t" o:hr="t"/>
        </w:pict>
      </w:r>
    </w:p>
    <w:bookmarkEnd w:id="34"/>
    <w:bookmarkStart w:id="40" w:name="data-architecture"/>
    <w:p>
      <w:pPr>
        <w:pStyle w:val="Heading1"/>
      </w:pPr>
      <w:r>
        <w:t xml:space="preserve">19.9 Data Architecture</w:t>
      </w:r>
    </w:p>
    <w:p>
      <w:pPr>
        <w:pStyle w:val="FirstParagraph"/>
      </w:pPr>
      <w:r>
        <w:t xml:space="preserve">The Data Architecture separates operational processing from analytical processing.</w:t>
      </w:r>
    </w:p>
    <w:p>
      <w:pPr>
        <w:pStyle w:val="BodyText"/>
      </w:pPr>
      <w:r>
        <w:t xml:space="preserve">Major components include:</w:t>
      </w:r>
    </w:p>
    <w:bookmarkStart w:id="35" w:name="operational-databases"/>
    <w:p>
      <w:pPr>
        <w:pStyle w:val="Heading3"/>
      </w:pPr>
      <w:r>
        <w:t xml:space="preserve">Operational Databases</w:t>
      </w:r>
    </w:p>
    <w:p>
      <w:pPr>
        <w:pStyle w:val="FirstParagraph"/>
      </w:pPr>
      <w:r>
        <w:t xml:space="preserve">Support day-to-day transactions.</w:t>
      </w:r>
    </w:p>
    <w:p>
      <w:r>
        <w:pict>
          <v:rect style="width:0;height:1.5pt" o:hralign="center" o:hrstd="t" o:hr="t"/>
        </w:pict>
      </w:r>
    </w:p>
    <w:bookmarkEnd w:id="35"/>
    <w:bookmarkStart w:id="36" w:name="master-data-repository"/>
    <w:p>
      <w:pPr>
        <w:pStyle w:val="Heading3"/>
      </w:pPr>
      <w:r>
        <w:t xml:space="preserve">Master Data Repository</w:t>
      </w:r>
    </w:p>
    <w:p>
      <w:pPr>
        <w:pStyle w:val="FirstParagraph"/>
      </w:pPr>
      <w:r>
        <w:t xml:space="preserve">Stores authoritative reference information.</w:t>
      </w:r>
    </w:p>
    <w:p>
      <w:r>
        <w:pict>
          <v:rect style="width:0;height:1.5pt" o:hralign="center" o:hrstd="t" o:hr="t"/>
        </w:pict>
      </w:r>
    </w:p>
    <w:bookmarkEnd w:id="36"/>
    <w:bookmarkStart w:id="37" w:name="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Supports historical reporting and analytics.</w:t>
      </w:r>
    </w:p>
    <w:p>
      <w:r>
        <w:pict>
          <v:rect style="width:0;height:1.5pt" o:hralign="center" o:hrstd="t" o:hr="t"/>
        </w:pict>
      </w:r>
    </w:p>
    <w:bookmarkEnd w:id="37"/>
    <w:bookmarkStart w:id="38" w:name="data-lake"/>
    <w:p>
      <w:pPr>
        <w:pStyle w:val="Heading3"/>
      </w:pPr>
      <w:r>
        <w:t xml:space="preserve">Data Lake</w:t>
      </w:r>
    </w:p>
    <w:p>
      <w:pPr>
        <w:pStyle w:val="FirstParagraph"/>
      </w:pPr>
      <w:r>
        <w:t xml:space="preserve">Stores large volumes of structured and semi-structured operational data for advanced analytics.</w:t>
      </w:r>
    </w:p>
    <w:p>
      <w:r>
        <w:pict>
          <v:rect style="width:0;height:1.5pt" o:hralign="center" o:hrstd="t" o:hr="t"/>
        </w:pict>
      </w:r>
    </w:p>
    <w:bookmarkEnd w:id="38"/>
    <w:bookmarkStart w:id="39" w:name="ai-knowledge-layer"/>
    <w:p>
      <w:pPr>
        <w:pStyle w:val="Heading3"/>
      </w:pPr>
      <w:r>
        <w:t xml:space="preserve">AI Knowledge Layer</w:t>
      </w:r>
    </w:p>
    <w:p>
      <w:pPr>
        <w:pStyle w:val="FirstParagraph"/>
      </w:pPr>
      <w:r>
        <w:t xml:space="preserve">Provides information used by forecasting and decision-support services.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echnology-architecture"/>
    <w:p>
      <w:pPr>
        <w:pStyle w:val="Heading1"/>
      </w:pPr>
      <w:r>
        <w:t xml:space="preserve">19.10 Technology Architecture</w:t>
      </w:r>
    </w:p>
    <w:p>
      <w:pPr>
        <w:pStyle w:val="FirstParagraph"/>
      </w:pPr>
      <w:r>
        <w:t xml:space="preserve">The platform supports multiple deployment models, including:</w:t>
      </w:r>
    </w:p>
    <w:p>
      <w:pPr>
        <w:pStyle w:val="Compact"/>
        <w:numPr>
          <w:ilvl w:val="0"/>
          <w:numId w:val="1006"/>
        </w:numPr>
      </w:pPr>
      <w:r>
        <w:t xml:space="preserve">National cloud infrastructure.</w:t>
      </w:r>
    </w:p>
    <w:p>
      <w:pPr>
        <w:pStyle w:val="Compact"/>
        <w:numPr>
          <w:ilvl w:val="0"/>
          <w:numId w:val="1006"/>
        </w:numPr>
      </w:pPr>
      <w:r>
        <w:t xml:space="preserve">Government data centres.</w:t>
      </w:r>
    </w:p>
    <w:p>
      <w:pPr>
        <w:pStyle w:val="Compact"/>
        <w:numPr>
          <w:ilvl w:val="0"/>
          <w:numId w:val="1006"/>
        </w:numPr>
      </w:pPr>
      <w:r>
        <w:t xml:space="preserve">Regional infrastructure.</w:t>
      </w:r>
    </w:p>
    <w:p>
      <w:pPr>
        <w:pStyle w:val="Compact"/>
        <w:numPr>
          <w:ilvl w:val="0"/>
          <w:numId w:val="1006"/>
        </w:numPr>
      </w:pPr>
      <w:r>
        <w:t xml:space="preserve">School devices operating offline.</w:t>
      </w:r>
    </w:p>
    <w:p>
      <w:pPr>
        <w:pStyle w:val="Compact"/>
        <w:numPr>
          <w:ilvl w:val="0"/>
          <w:numId w:val="1006"/>
        </w:numPr>
      </w:pPr>
      <w:r>
        <w:t xml:space="preserve">Mobile devices for inspectors and field teams.</w:t>
      </w:r>
    </w:p>
    <w:p>
      <w:pPr>
        <w:pStyle w:val="FirstParagraph"/>
      </w:pPr>
      <w:r>
        <w:t xml:space="preserve">This hybrid approach improves resilience and flexibility.</w:t>
      </w:r>
    </w:p>
    <w:p>
      <w:r>
        <w:pict>
          <v:rect style="width:0;height:1.5pt" o:hralign="center" o:hrstd="t" o:hr="t"/>
        </w:pict>
      </w:r>
    </w:p>
    <w:bookmarkEnd w:id="41"/>
    <w:bookmarkStart w:id="42" w:name="security-architecture"/>
    <w:p>
      <w:pPr>
        <w:pStyle w:val="Heading1"/>
      </w:pPr>
      <w:r>
        <w:t xml:space="preserve">19.11 Security Architecture</w:t>
      </w:r>
    </w:p>
    <w:p>
      <w:pPr>
        <w:pStyle w:val="FirstParagraph"/>
      </w:pPr>
      <w:r>
        <w:t xml:space="preserve">Security is embedded throughout the architecture.</w:t>
      </w:r>
    </w:p>
    <w:p>
      <w:pPr>
        <w:pStyle w:val="BodyText"/>
      </w:pPr>
      <w:r>
        <w:t xml:space="preserve">Key capabilities include:</w:t>
      </w:r>
    </w:p>
    <w:p>
      <w:pPr>
        <w:pStyle w:val="Compact"/>
        <w:numPr>
          <w:ilvl w:val="0"/>
          <w:numId w:val="1007"/>
        </w:numPr>
      </w:pPr>
      <w:r>
        <w:t xml:space="preserve">Digital identity.</w:t>
      </w:r>
    </w:p>
    <w:p>
      <w:pPr>
        <w:pStyle w:val="Compact"/>
        <w:numPr>
          <w:ilvl w:val="0"/>
          <w:numId w:val="1007"/>
        </w:numPr>
      </w:pPr>
      <w:r>
        <w:t xml:space="preserve">Role-based access control.</w:t>
      </w:r>
    </w:p>
    <w:p>
      <w:pPr>
        <w:pStyle w:val="Compact"/>
        <w:numPr>
          <w:ilvl w:val="0"/>
          <w:numId w:val="1007"/>
        </w:numPr>
      </w:pPr>
      <w:r>
        <w:t xml:space="preserve">Encryption in transit and at rest where appropriate.</w:t>
      </w:r>
    </w:p>
    <w:p>
      <w:pPr>
        <w:pStyle w:val="Compact"/>
        <w:numPr>
          <w:ilvl w:val="0"/>
          <w:numId w:val="1007"/>
        </w:numPr>
      </w:pPr>
      <w:r>
        <w:t xml:space="preserve">API security.</w:t>
      </w:r>
    </w:p>
    <w:p>
      <w:pPr>
        <w:pStyle w:val="Compact"/>
        <w:numPr>
          <w:ilvl w:val="0"/>
          <w:numId w:val="1007"/>
        </w:numPr>
      </w:pPr>
      <w:r>
        <w:t xml:space="preserve">Audit logging.</w:t>
      </w:r>
    </w:p>
    <w:p>
      <w:pPr>
        <w:pStyle w:val="Compact"/>
        <w:numPr>
          <w:ilvl w:val="0"/>
          <w:numId w:val="1007"/>
        </w:numPr>
      </w:pPr>
      <w:r>
        <w:t xml:space="preserve">Security monitoring.</w:t>
      </w:r>
    </w:p>
    <w:p>
      <w:pPr>
        <w:pStyle w:val="Compact"/>
        <w:numPr>
          <w:ilvl w:val="0"/>
          <w:numId w:val="1007"/>
        </w:numPr>
      </w:pPr>
      <w:r>
        <w:t xml:space="preserve">Backup and recovery.</w:t>
      </w:r>
    </w:p>
    <w:p>
      <w:pPr>
        <w:pStyle w:val="Compact"/>
        <w:numPr>
          <w:ilvl w:val="0"/>
          <w:numId w:val="1007"/>
        </w:numPr>
      </w:pPr>
      <w:r>
        <w:t xml:space="preserve">Disaster recovery planning.</w:t>
      </w:r>
    </w:p>
    <w:p>
      <w:r>
        <w:pict>
          <v:rect style="width:0;height:1.5pt" o:hralign="center" o:hrstd="t" o:hr="t"/>
        </w:pict>
      </w:r>
    </w:p>
    <w:bookmarkEnd w:id="42"/>
    <w:bookmarkStart w:id="43" w:name="artificial-intelligence-architecture"/>
    <w:p>
      <w:pPr>
        <w:pStyle w:val="Heading1"/>
      </w:pPr>
      <w:r>
        <w:t xml:space="preserve">19.12 Artificial Intelligence Architecture</w:t>
      </w:r>
    </w:p>
    <w:p>
      <w:pPr>
        <w:pStyle w:val="FirstParagraph"/>
      </w:pPr>
      <w:r>
        <w:t xml:space="preserve">The AI layer operates independently of transactional systems.</w:t>
      </w:r>
    </w:p>
    <w:p>
      <w:pPr>
        <w:pStyle w:val="BodyText"/>
      </w:pPr>
      <w:r>
        <w:t xml:space="preserve">It consumes approved operational information to provide:</w:t>
      </w:r>
    </w:p>
    <w:p>
      <w:pPr>
        <w:pStyle w:val="Compact"/>
        <w:numPr>
          <w:ilvl w:val="0"/>
          <w:numId w:val="1008"/>
        </w:numPr>
      </w:pPr>
      <w:r>
        <w:t xml:space="preserve">Forecasting.</w:t>
      </w:r>
    </w:p>
    <w:p>
      <w:pPr>
        <w:pStyle w:val="Compact"/>
        <w:numPr>
          <w:ilvl w:val="0"/>
          <w:numId w:val="1008"/>
        </w:numPr>
      </w:pPr>
      <w:r>
        <w:t xml:space="preserve">Trend analysis.</w:t>
      </w:r>
    </w:p>
    <w:p>
      <w:pPr>
        <w:pStyle w:val="Compact"/>
        <w:numPr>
          <w:ilvl w:val="0"/>
          <w:numId w:val="1008"/>
        </w:numPr>
      </w:pPr>
      <w:r>
        <w:t xml:space="preserve">Operational recommendations.</w:t>
      </w:r>
    </w:p>
    <w:p>
      <w:pPr>
        <w:pStyle w:val="Compact"/>
        <w:numPr>
          <w:ilvl w:val="0"/>
          <w:numId w:val="1008"/>
        </w:numPr>
      </w:pPr>
      <w:r>
        <w:t xml:space="preserve">Executive summaries.</w:t>
      </w:r>
    </w:p>
    <w:p>
      <w:pPr>
        <w:pStyle w:val="Compact"/>
        <w:numPr>
          <w:ilvl w:val="0"/>
          <w:numId w:val="1008"/>
        </w:numPr>
      </w:pPr>
      <w:r>
        <w:t xml:space="preserve">Conversational assistance.</w:t>
      </w:r>
    </w:p>
    <w:p>
      <w:pPr>
        <w:pStyle w:val="FirstParagraph"/>
      </w:pPr>
      <w:r>
        <w:t xml:space="preserve">This separation reduces operational risk while improving scalability.</w:t>
      </w:r>
    </w:p>
    <w:p>
      <w:r>
        <w:pict>
          <v:rect style="width:0;height:1.5pt" o:hralign="center" o:hrstd="t" o:hr="t"/>
        </w:pict>
      </w:r>
    </w:p>
    <w:bookmarkEnd w:id="43"/>
    <w:bookmarkStart w:id="44" w:name="architectural-principles"/>
    <w:p>
      <w:pPr>
        <w:pStyle w:val="Heading1"/>
      </w:pPr>
      <w:r>
        <w:t xml:space="preserve">19.13 Architectural Principles</w:t>
      </w:r>
    </w:p>
    <w:p>
      <w:pPr>
        <w:pStyle w:val="FirstParagraph"/>
      </w:pPr>
      <w:r>
        <w:t xml:space="preserve">The platform follows principles including:</w:t>
      </w:r>
    </w:p>
    <w:p>
      <w:pPr>
        <w:pStyle w:val="Compact"/>
        <w:numPr>
          <w:ilvl w:val="0"/>
          <w:numId w:val="1009"/>
        </w:numPr>
      </w:pPr>
      <w:r>
        <w:t xml:space="preserve">API-first design.</w:t>
      </w:r>
    </w:p>
    <w:p>
      <w:pPr>
        <w:pStyle w:val="Compact"/>
        <w:numPr>
          <w:ilvl w:val="0"/>
          <w:numId w:val="1009"/>
        </w:numPr>
      </w:pPr>
      <w:r>
        <w:t xml:space="preserve">Modular services.</w:t>
      </w:r>
    </w:p>
    <w:p>
      <w:pPr>
        <w:pStyle w:val="Compact"/>
        <w:numPr>
          <w:ilvl w:val="0"/>
          <w:numId w:val="1009"/>
        </w:numPr>
      </w:pPr>
      <w:r>
        <w:t xml:space="preserve">Reusable components.</w:t>
      </w:r>
    </w:p>
    <w:p>
      <w:pPr>
        <w:pStyle w:val="Compact"/>
        <w:numPr>
          <w:ilvl w:val="0"/>
          <w:numId w:val="1009"/>
        </w:numPr>
      </w:pPr>
      <w:r>
        <w:t xml:space="preserve">Loose coupling.</w:t>
      </w:r>
    </w:p>
    <w:p>
      <w:pPr>
        <w:pStyle w:val="Compact"/>
        <w:numPr>
          <w:ilvl w:val="0"/>
          <w:numId w:val="1009"/>
        </w:numPr>
      </w:pPr>
      <w:r>
        <w:t xml:space="preserve">High cohesion.</w:t>
      </w:r>
    </w:p>
    <w:p>
      <w:pPr>
        <w:pStyle w:val="Compact"/>
        <w:numPr>
          <w:ilvl w:val="0"/>
          <w:numId w:val="1009"/>
        </w:numPr>
      </w:pPr>
      <w:r>
        <w:t xml:space="preserve">Event-driven communication where appropriate.</w:t>
      </w:r>
    </w:p>
    <w:p>
      <w:pPr>
        <w:pStyle w:val="Compact"/>
        <w:numPr>
          <w:ilvl w:val="0"/>
          <w:numId w:val="1009"/>
        </w:numPr>
      </w:pPr>
      <w:r>
        <w:t xml:space="preserve">Secure-by-design implementation.</w:t>
      </w:r>
    </w:p>
    <w:p>
      <w:pPr>
        <w:pStyle w:val="Compact"/>
        <w:numPr>
          <w:ilvl w:val="0"/>
          <w:numId w:val="1009"/>
        </w:numPr>
      </w:pPr>
      <w:r>
        <w:t xml:space="preserve">Continuous monitoring.</w:t>
      </w:r>
    </w:p>
    <w:p>
      <w:r>
        <w:pict>
          <v:rect style="width:0;height:1.5pt" o:hralign="center" o:hrstd="t" o:hr="t"/>
        </w:pict>
      </w:r>
    </w:p>
    <w:bookmarkEnd w:id="44"/>
    <w:bookmarkStart w:id="45" w:name="expected-benefits"/>
    <w:p>
      <w:pPr>
        <w:pStyle w:val="Heading1"/>
      </w:pPr>
      <w:r>
        <w:t xml:space="preserve">19.14 Expected Benefits</w:t>
      </w:r>
    </w:p>
    <w:p>
      <w:pPr>
        <w:pStyle w:val="FirstParagraph"/>
      </w:pPr>
      <w:r>
        <w:t xml:space="preserve">The Enterprise Architecture is expected to provide:</w:t>
      </w:r>
    </w:p>
    <w:p>
      <w:pPr>
        <w:pStyle w:val="Compact"/>
        <w:numPr>
          <w:ilvl w:val="0"/>
          <w:numId w:val="1010"/>
        </w:numPr>
      </w:pPr>
      <w:r>
        <w:t xml:space="preserve">Long-term scalability.</w:t>
      </w:r>
    </w:p>
    <w:p>
      <w:pPr>
        <w:pStyle w:val="Compact"/>
        <w:numPr>
          <w:ilvl w:val="0"/>
          <w:numId w:val="1010"/>
        </w:numPr>
      </w:pPr>
      <w:r>
        <w:t xml:space="preserve">Simplified maintenance.</w:t>
      </w:r>
    </w:p>
    <w:p>
      <w:pPr>
        <w:pStyle w:val="Compact"/>
        <w:numPr>
          <w:ilvl w:val="0"/>
          <w:numId w:val="1010"/>
        </w:numPr>
      </w:pPr>
      <w:r>
        <w:t xml:space="preserve">Easier integration.</w:t>
      </w:r>
    </w:p>
    <w:p>
      <w:pPr>
        <w:pStyle w:val="Compact"/>
        <w:numPr>
          <w:ilvl w:val="0"/>
          <w:numId w:val="1010"/>
        </w:numPr>
      </w:pPr>
      <w:r>
        <w:t xml:space="preserve">Greater operational resilience.</w:t>
      </w:r>
    </w:p>
    <w:p>
      <w:pPr>
        <w:pStyle w:val="Compact"/>
        <w:numPr>
          <w:ilvl w:val="0"/>
          <w:numId w:val="1010"/>
        </w:numPr>
      </w:pPr>
      <w:r>
        <w:t xml:space="preserve">Improved cybersecurity.</w:t>
      </w:r>
    </w:p>
    <w:p>
      <w:pPr>
        <w:pStyle w:val="Compact"/>
        <w:numPr>
          <w:ilvl w:val="0"/>
          <w:numId w:val="1010"/>
        </w:numPr>
      </w:pPr>
      <w:r>
        <w:t xml:space="preserve">Better system performance.</w:t>
      </w:r>
    </w:p>
    <w:p>
      <w:pPr>
        <w:pStyle w:val="Compact"/>
        <w:numPr>
          <w:ilvl w:val="0"/>
          <w:numId w:val="1010"/>
        </w:numPr>
      </w:pPr>
      <w:r>
        <w:t xml:space="preserve">Lower lifecycle costs.</w:t>
      </w:r>
    </w:p>
    <w:p>
      <w:pPr>
        <w:pStyle w:val="Compact"/>
        <w:numPr>
          <w:ilvl w:val="0"/>
          <w:numId w:val="1010"/>
        </w:numPr>
      </w:pPr>
      <w:r>
        <w:t xml:space="preserve">Support for future innovation.</w:t>
      </w:r>
    </w:p>
    <w:p>
      <w:r>
        <w:pict>
          <v:rect style="width:0;height:1.5pt" o:hralign="center" o:hrstd="t" o:hr="t"/>
        </w:pict>
      </w:r>
    </w:p>
    <w:bookmarkEnd w:id="45"/>
    <w:bookmarkStart w:id="46" w:name="chapter-summary"/>
    <w:p>
      <w:pPr>
        <w:pStyle w:val="Heading1"/>
      </w:pPr>
      <w:r>
        <w:t xml:space="preserve">19.15 Chapter Summary</w:t>
      </w:r>
    </w:p>
    <w:p>
      <w:pPr>
        <w:pStyle w:val="FirstParagraph"/>
      </w:pPr>
      <w:r>
        <w:t xml:space="preserve">The Enterprise Architecture establishes EduOS Cameroon as a modular, interoperable, secure, and scalable National Education Digital Public Infrastructure.</w:t>
      </w:r>
    </w:p>
    <w:p>
      <w:pPr>
        <w:pStyle w:val="BodyText"/>
      </w:pPr>
      <w:r>
        <w:t xml:space="preserve">By organizing the platform into well-defined architectural layers supported by shared services, secure integration, offline-first operation, and responsible AI, the architecture provides a sustainable technical foundation capable of supporting Cameroon’s education sector for many years.</w:t>
      </w:r>
    </w:p>
    <w:p>
      <w:pPr>
        <w:pStyle w:val="BodyText"/>
      </w:pPr>
      <w:r>
        <w:t xml:space="preserve">The following chapter will expand this architecture into a</w:t>
      </w:r>
      <w:r>
        <w:t xml:space="preserve"> </w:t>
      </w:r>
      <w:r>
        <w:rPr>
          <w:b/>
          <w:bCs/>
        </w:rPr>
        <w:t xml:space="preserve">National Microservices and Platform Engineering Framework</w:t>
      </w:r>
      <w:r>
        <w:t xml:space="preserve">, defining how each business capability is implemented as an independent yet coordinated digital service.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2026-07-10T14:21:48Z</dcterms:created>
  <dcterms:modified xsi:type="dcterms:W3CDTF">2026-07-10T14:21:48Z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