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1"/>
    <w:p>
      <w:pPr>
        <w:pStyle w:val="Heading1"/>
      </w:pPr>
      <w:r>
        <w:t xml:space="preserve">CHAPTER 21</w:t>
      </w:r>
    </w:p>
    <w:bookmarkEnd w:id="20"/>
    <w:bookmarkStart w:id="22" w:name="X1074f346f2990e9b487daa69c54a17786628925"/>
    <w:p>
      <w:pPr>
        <w:pStyle w:val="Heading1"/>
      </w:pPr>
      <w:r>
        <w:t xml:space="preserve">NATIONAL CLOUD, EDGE COMPUTING AND OFFLINE SYNCHRONIZATION ARCHITECTURE</w:t>
      </w:r>
    </w:p>
    <w:bookmarkStart w:id="21" w:name="introduction"/>
    <w:p>
      <w:pPr>
        <w:pStyle w:val="Heading2"/>
      </w:pPr>
      <w:r>
        <w:t xml:space="preserve">21.1 Introduction</w:t>
      </w:r>
    </w:p>
    <w:p>
      <w:pPr>
        <w:pStyle w:val="FirstParagraph"/>
      </w:pPr>
      <w:r>
        <w:t xml:space="preserve">Education services are delivered in diverse environments ranging from major urban centres with reliable connectivity to remote communities where internet access may be intermittent and power availability may vary.</w:t>
      </w:r>
    </w:p>
    <w:p>
      <w:pPr>
        <w:pStyle w:val="BodyText"/>
      </w:pPr>
      <w:r>
        <w:t xml:space="preserve">A digital education platform must therefore continue supporting essential school operations regardless of temporary network interruptions while ensuring that information is synchronized securely with regional and national systems when connectivity is restored.</w:t>
      </w:r>
    </w:p>
    <w:p>
      <w:pPr>
        <w:pStyle w:val="BodyText"/>
      </w:pPr>
      <w:r>
        <w:t xml:space="preserve">EduOS Cameroon adopts a hybrid cloud and edge computing architecture that combines centralized national services with decentralized local processing. This approach strengthens operational continuity, improves responsiveness, and supports nationwide deployment.</w:t>
      </w:r>
    </w:p>
    <w:p>
      <w:r>
        <w:pict>
          <v:rect style="width:0;height:1.5pt" o:hralign="center" o:hrstd="t" o:hr="t"/>
        </w:pict>
      </w:r>
    </w:p>
    <w:bookmarkEnd w:id="21"/>
    <w:bookmarkEnd w:id="22"/>
    <w:bookmarkStart w:id="23" w:name="vision"/>
    <w:p>
      <w:pPr>
        <w:pStyle w:val="Heading1"/>
      </w:pPr>
      <w:r>
        <w:t xml:space="preserve">21.2 Vision</w:t>
      </w:r>
    </w:p>
    <w:p>
      <w:pPr>
        <w:pStyle w:val="FirstParagraph"/>
      </w:pPr>
      <w:r>
        <w:t xml:space="preserve">To establish a resilient education platform that enables uninterrupted school operations, secure information exchange, and efficient national coordination through the combined use of cloud infrastructure, regional services, and local edge computing.</w:t>
      </w:r>
    </w:p>
    <w:p>
      <w:r>
        <w:pict>
          <v:rect style="width:0;height:1.5pt" o:hralign="center" o:hrstd="t" o:hr="t"/>
        </w:pict>
      </w:r>
    </w:p>
    <w:bookmarkEnd w:id="23"/>
    <w:bookmarkStart w:id="24" w:name="strategic-objectives"/>
    <w:p>
      <w:pPr>
        <w:pStyle w:val="Heading1"/>
      </w:pPr>
      <w:r>
        <w:t xml:space="preserve">21.3 Strategic Objectives</w:t>
      </w:r>
    </w:p>
    <w:p>
      <w:pPr>
        <w:pStyle w:val="FirstParagraph"/>
      </w:pPr>
      <w:r>
        <w:t xml:space="preserve">The architecture seeks to:</w:t>
      </w:r>
    </w:p>
    <w:p>
      <w:pPr>
        <w:pStyle w:val="Compact"/>
        <w:numPr>
          <w:ilvl w:val="0"/>
          <w:numId w:val="1001"/>
        </w:numPr>
      </w:pPr>
      <w:r>
        <w:t xml:space="preserve">Maintain uninterrupted school operations.</w:t>
      </w:r>
    </w:p>
    <w:p>
      <w:pPr>
        <w:pStyle w:val="Compact"/>
        <w:numPr>
          <w:ilvl w:val="0"/>
          <w:numId w:val="1001"/>
        </w:numPr>
      </w:pPr>
      <w:r>
        <w:t xml:space="preserve">Reduce dependence on continuous internet connectivity.</w:t>
      </w:r>
    </w:p>
    <w:p>
      <w:pPr>
        <w:pStyle w:val="Compact"/>
        <w:numPr>
          <w:ilvl w:val="0"/>
          <w:numId w:val="1001"/>
        </w:numPr>
      </w:pPr>
      <w:r>
        <w:t xml:space="preserve">Improve synchronization efficiency.</w:t>
      </w:r>
    </w:p>
    <w:p>
      <w:pPr>
        <w:pStyle w:val="Compact"/>
        <w:numPr>
          <w:ilvl w:val="0"/>
          <w:numId w:val="1001"/>
        </w:numPr>
      </w:pPr>
      <w:r>
        <w:t xml:space="preserve">Strengthen operational resilience.</w:t>
      </w:r>
    </w:p>
    <w:p>
      <w:pPr>
        <w:pStyle w:val="Compact"/>
        <w:numPr>
          <w:ilvl w:val="0"/>
          <w:numId w:val="1001"/>
        </w:numPr>
      </w:pPr>
      <w:r>
        <w:t xml:space="preserve">Optimize bandwidth utilization.</w:t>
      </w:r>
    </w:p>
    <w:p>
      <w:pPr>
        <w:pStyle w:val="Compact"/>
        <w:numPr>
          <w:ilvl w:val="0"/>
          <w:numId w:val="1001"/>
        </w:numPr>
      </w:pPr>
      <w:r>
        <w:t xml:space="preserve">Support national scalability.</w:t>
      </w:r>
    </w:p>
    <w:p>
      <w:pPr>
        <w:pStyle w:val="Compact"/>
        <w:numPr>
          <w:ilvl w:val="0"/>
          <w:numId w:val="1001"/>
        </w:numPr>
      </w:pPr>
      <w:r>
        <w:t xml:space="preserve">Improve disaster resilience.</w:t>
      </w:r>
    </w:p>
    <w:p>
      <w:pPr>
        <w:pStyle w:val="Compact"/>
        <w:numPr>
          <w:ilvl w:val="0"/>
          <w:numId w:val="1001"/>
        </w:numPr>
      </w:pPr>
      <w:r>
        <w:t xml:space="preserve">Enable secure distributed computing.</w:t>
      </w:r>
    </w:p>
    <w:p>
      <w:r>
        <w:pict>
          <v:rect style="width:0;height:1.5pt" o:hralign="center" o:hrstd="t" o:hr="t"/>
        </w:pict>
      </w:r>
    </w:p>
    <w:bookmarkEnd w:id="24"/>
    <w:bookmarkStart w:id="25" w:name="hybrid-deployment-model"/>
    <w:p>
      <w:pPr>
        <w:pStyle w:val="Heading1"/>
      </w:pPr>
      <w:r>
        <w:t xml:space="preserve">21.4 Hybrid Deployment Model</w:t>
      </w:r>
    </w:p>
    <w:p>
      <w:pPr>
        <w:pStyle w:val="FirstParagraph"/>
      </w:pPr>
      <w:r>
        <w:t xml:space="preserve">EduOS Cameroon operates across three complementary layers.</w:t>
      </w:r>
    </w:p>
    <w:p>
      <w:pPr>
        <w:pStyle w:val="BodyText"/>
      </w:pPr>
      <w:r>
        <w:rPr>
          <w:rStyle w:val="VerbatimChar"/>
        </w:rPr>
        <w:t xml:space="preserve">text id="edge001" National Platform (Cloud / Government Data Centre)           │           ▼ Regional Services (Regional Edge Infrastructure)           │           ▼ School Edge Devices (PC • Tablet • Mobile Device)</w:t>
      </w:r>
    </w:p>
    <w:p>
      <w:pPr>
        <w:pStyle w:val="BodyText"/>
      </w:pPr>
      <w:r>
        <w:t xml:space="preserve">Each layer performs responsibilities appropriate to its operational context.</w:t>
      </w:r>
    </w:p>
    <w:p>
      <w:r>
        <w:pict>
          <v:rect style="width:0;height:1.5pt" o:hralign="center" o:hrstd="t" o:hr="t"/>
        </w:pict>
      </w:r>
    </w:p>
    <w:bookmarkEnd w:id="25"/>
    <w:bookmarkStart w:id="26" w:name="national-layer"/>
    <w:p>
      <w:pPr>
        <w:pStyle w:val="Heading1"/>
      </w:pPr>
      <w:r>
        <w:t xml:space="preserve">21.5 National Layer</w:t>
      </w:r>
    </w:p>
    <w:p>
      <w:pPr>
        <w:pStyle w:val="FirstParagraph"/>
      </w:pPr>
      <w:r>
        <w:t xml:space="preserve">The national layer provides:</w:t>
      </w:r>
    </w:p>
    <w:p>
      <w:pPr>
        <w:pStyle w:val="Compact"/>
        <w:numPr>
          <w:ilvl w:val="0"/>
          <w:numId w:val="1002"/>
        </w:numPr>
      </w:pPr>
      <w:r>
        <w:t xml:space="preserve">Central application services.</w:t>
      </w:r>
    </w:p>
    <w:p>
      <w:pPr>
        <w:pStyle w:val="Compact"/>
        <w:numPr>
          <w:ilvl w:val="0"/>
          <w:numId w:val="1002"/>
        </w:numPr>
      </w:pPr>
      <w:r>
        <w:t xml:space="preserve">National reporting.</w:t>
      </w:r>
    </w:p>
    <w:p>
      <w:pPr>
        <w:pStyle w:val="Compact"/>
        <w:numPr>
          <w:ilvl w:val="0"/>
          <w:numId w:val="1002"/>
        </w:numPr>
      </w:pPr>
      <w:r>
        <w:t xml:space="preserve">Executive dashboards.</w:t>
      </w:r>
    </w:p>
    <w:p>
      <w:pPr>
        <w:pStyle w:val="Compact"/>
        <w:numPr>
          <w:ilvl w:val="0"/>
          <w:numId w:val="1002"/>
        </w:numPr>
      </w:pPr>
      <w:r>
        <w:t xml:space="preserve">Master data management.</w:t>
      </w:r>
    </w:p>
    <w:p>
      <w:pPr>
        <w:pStyle w:val="Compact"/>
        <w:numPr>
          <w:ilvl w:val="0"/>
          <w:numId w:val="1002"/>
        </w:numPr>
      </w:pPr>
      <w:r>
        <w:t xml:space="preserve">AI and analytics.</w:t>
      </w:r>
    </w:p>
    <w:p>
      <w:pPr>
        <w:pStyle w:val="Compact"/>
        <w:numPr>
          <w:ilvl w:val="0"/>
          <w:numId w:val="1002"/>
        </w:numPr>
      </w:pPr>
      <w:r>
        <w:t xml:space="preserve">National identity services.</w:t>
      </w:r>
    </w:p>
    <w:p>
      <w:pPr>
        <w:pStyle w:val="Compact"/>
        <w:numPr>
          <w:ilvl w:val="0"/>
          <w:numId w:val="1002"/>
        </w:numPr>
      </w:pPr>
      <w:r>
        <w:t xml:space="preserve">Interoperability services.</w:t>
      </w:r>
    </w:p>
    <w:p>
      <w:pPr>
        <w:pStyle w:val="Compact"/>
        <w:numPr>
          <w:ilvl w:val="0"/>
          <w:numId w:val="1002"/>
        </w:numPr>
      </w:pPr>
      <w:r>
        <w:t xml:space="preserve">Long-term data storage.</w:t>
      </w:r>
    </w:p>
    <w:p>
      <w:pPr>
        <w:pStyle w:val="FirstParagraph"/>
      </w:pPr>
      <w:r>
        <w:t xml:space="preserve">It serves as the authoritative national coordination environment.</w:t>
      </w:r>
    </w:p>
    <w:p>
      <w:r>
        <w:pict>
          <v:rect style="width:0;height:1.5pt" o:hralign="center" o:hrstd="t" o:hr="t"/>
        </w:pict>
      </w:r>
    </w:p>
    <w:bookmarkEnd w:id="26"/>
    <w:bookmarkStart w:id="27" w:name="regional-layer"/>
    <w:p>
      <w:pPr>
        <w:pStyle w:val="Heading1"/>
      </w:pPr>
      <w:r>
        <w:t xml:space="preserve">21.6 Regional Layer</w:t>
      </w:r>
    </w:p>
    <w:p>
      <w:pPr>
        <w:pStyle w:val="FirstParagraph"/>
      </w:pPr>
      <w:r>
        <w:t xml:space="preserve">Regional infrastructure supports:</w:t>
      </w:r>
    </w:p>
    <w:p>
      <w:pPr>
        <w:pStyle w:val="Compact"/>
        <w:numPr>
          <w:ilvl w:val="0"/>
          <w:numId w:val="1003"/>
        </w:numPr>
      </w:pPr>
      <w:r>
        <w:t xml:space="preserve">Regional synchronization.</w:t>
      </w:r>
    </w:p>
    <w:p>
      <w:pPr>
        <w:pStyle w:val="Compact"/>
        <w:numPr>
          <w:ilvl w:val="0"/>
          <w:numId w:val="1003"/>
        </w:numPr>
      </w:pPr>
      <w:r>
        <w:t xml:space="preserve">Operational monitoring.</w:t>
      </w:r>
    </w:p>
    <w:p>
      <w:pPr>
        <w:pStyle w:val="Compact"/>
        <w:numPr>
          <w:ilvl w:val="0"/>
          <w:numId w:val="1003"/>
        </w:numPr>
      </w:pPr>
      <w:r>
        <w:t xml:space="preserve">Temporary data aggregation.</w:t>
      </w:r>
    </w:p>
    <w:p>
      <w:pPr>
        <w:pStyle w:val="Compact"/>
        <w:numPr>
          <w:ilvl w:val="0"/>
          <w:numId w:val="1003"/>
        </w:numPr>
      </w:pPr>
      <w:r>
        <w:t xml:space="preserve">Regional reporting.</w:t>
      </w:r>
    </w:p>
    <w:p>
      <w:pPr>
        <w:pStyle w:val="Compact"/>
        <w:numPr>
          <w:ilvl w:val="0"/>
          <w:numId w:val="1003"/>
        </w:numPr>
      </w:pPr>
      <w:r>
        <w:t xml:space="preserve">Distribution coordination.</w:t>
      </w:r>
    </w:p>
    <w:p>
      <w:pPr>
        <w:pStyle w:val="Compact"/>
        <w:numPr>
          <w:ilvl w:val="0"/>
          <w:numId w:val="1003"/>
        </w:numPr>
      </w:pPr>
      <w:r>
        <w:t xml:space="preserve">Inspection management.</w:t>
      </w:r>
    </w:p>
    <w:p>
      <w:pPr>
        <w:pStyle w:val="FirstParagraph"/>
      </w:pPr>
      <w:r>
        <w:t xml:space="preserve">Regional services improve performance while reducing dependence on continuous communication with the national platform.</w:t>
      </w:r>
    </w:p>
    <w:p>
      <w:r>
        <w:pict>
          <v:rect style="width:0;height:1.5pt" o:hralign="center" o:hrstd="t" o:hr="t"/>
        </w:pict>
      </w:r>
    </w:p>
    <w:bookmarkEnd w:id="27"/>
    <w:bookmarkStart w:id="28" w:name="school-edge-layer"/>
    <w:p>
      <w:pPr>
        <w:pStyle w:val="Heading1"/>
      </w:pPr>
      <w:r>
        <w:t xml:space="preserve">21.7 School Edge Layer</w:t>
      </w:r>
    </w:p>
    <w:p>
      <w:pPr>
        <w:pStyle w:val="FirstParagraph"/>
      </w:pPr>
      <w:r>
        <w:t xml:space="preserve">Each participating school operates a secure local environment capable of:</w:t>
      </w:r>
    </w:p>
    <w:p>
      <w:pPr>
        <w:pStyle w:val="Compact"/>
        <w:numPr>
          <w:ilvl w:val="0"/>
          <w:numId w:val="1004"/>
        </w:numPr>
      </w:pPr>
      <w:r>
        <w:t xml:space="preserve">Student registration.</w:t>
      </w:r>
    </w:p>
    <w:p>
      <w:pPr>
        <w:pStyle w:val="Compact"/>
        <w:numPr>
          <w:ilvl w:val="0"/>
          <w:numId w:val="1004"/>
        </w:numPr>
      </w:pPr>
      <w:r>
        <w:t xml:space="preserve">Attendance recording.</w:t>
      </w:r>
    </w:p>
    <w:p>
      <w:pPr>
        <w:pStyle w:val="Compact"/>
        <w:numPr>
          <w:ilvl w:val="0"/>
          <w:numId w:val="1004"/>
        </w:numPr>
      </w:pPr>
      <w:r>
        <w:t xml:space="preserve">Textbook management.</w:t>
      </w:r>
    </w:p>
    <w:p>
      <w:pPr>
        <w:pStyle w:val="Compact"/>
        <w:numPr>
          <w:ilvl w:val="0"/>
          <w:numId w:val="1004"/>
        </w:numPr>
      </w:pPr>
      <w:r>
        <w:t xml:space="preserve">Digital Asset Passport updates.</w:t>
      </w:r>
    </w:p>
    <w:p>
      <w:pPr>
        <w:pStyle w:val="Compact"/>
        <w:numPr>
          <w:ilvl w:val="0"/>
          <w:numId w:val="1004"/>
        </w:numPr>
      </w:pPr>
      <w:r>
        <w:t xml:space="preserve">Inventory management.</w:t>
      </w:r>
    </w:p>
    <w:p>
      <w:pPr>
        <w:pStyle w:val="Compact"/>
        <w:numPr>
          <w:ilvl w:val="0"/>
          <w:numId w:val="1004"/>
        </w:numPr>
      </w:pPr>
      <w:r>
        <w:t xml:space="preserve">Inspection preparation.</w:t>
      </w:r>
    </w:p>
    <w:p>
      <w:pPr>
        <w:pStyle w:val="Compact"/>
        <w:numPr>
          <w:ilvl w:val="0"/>
          <w:numId w:val="1004"/>
        </w:numPr>
      </w:pPr>
      <w:r>
        <w:t xml:space="preserve">Local reporting.</w:t>
      </w:r>
    </w:p>
    <w:p>
      <w:pPr>
        <w:pStyle w:val="FirstParagraph"/>
      </w:pPr>
      <w:r>
        <w:t xml:space="preserve">Schools continue normal operations even during temporary connectivity interruptions.</w:t>
      </w:r>
    </w:p>
    <w:p>
      <w:r>
        <w:pict>
          <v:rect style="width:0;height:1.5pt" o:hralign="center" o:hrstd="t" o:hr="t"/>
        </w:pict>
      </w:r>
    </w:p>
    <w:bookmarkEnd w:id="28"/>
    <w:bookmarkStart w:id="29" w:name="offline-synchronization"/>
    <w:p>
      <w:pPr>
        <w:pStyle w:val="Heading1"/>
      </w:pPr>
      <w:r>
        <w:t xml:space="preserve">21.8 Offline Synchronization</w:t>
      </w:r>
    </w:p>
    <w:p>
      <w:pPr>
        <w:pStyle w:val="FirstParagraph"/>
      </w:pPr>
      <w:r>
        <w:t xml:space="preserve">Synchronization follows a structured process.</w:t>
      </w:r>
    </w:p>
    <w:p>
      <w:pPr>
        <w:pStyle w:val="BodyText"/>
      </w:pPr>
      <w:r>
        <w:rPr>
          <w:rStyle w:val="VerbatimChar"/>
        </w:rPr>
        <w:t xml:space="preserve">text id="edge002" Local Transaction         │         ▼ Local Validation         │         ▼ Encrypted Queue         │         ▼ Connectivity Available         │         ▼ Secure Synchronization         │         ▼ Conflict Resolution         │         ▼ Confirmation</w:t>
      </w:r>
    </w:p>
    <w:p>
      <w:pPr>
        <w:pStyle w:val="BodyText"/>
      </w:pPr>
      <w:r>
        <w:t xml:space="preserve">Only validated transactions are synchronized.</w:t>
      </w:r>
    </w:p>
    <w:p>
      <w:r>
        <w:pict>
          <v:rect style="width:0;height:1.5pt" o:hralign="center" o:hrstd="t" o:hr="t"/>
        </w:pict>
      </w:r>
    </w:p>
    <w:bookmarkEnd w:id="29"/>
    <w:bookmarkStart w:id="30" w:name="synchronization-principles"/>
    <w:p>
      <w:pPr>
        <w:pStyle w:val="Heading1"/>
      </w:pPr>
      <w:r>
        <w:t xml:space="preserve">21.9 Synchronization Principles</w:t>
      </w:r>
    </w:p>
    <w:p>
      <w:pPr>
        <w:pStyle w:val="FirstParagraph"/>
      </w:pPr>
      <w:r>
        <w:t xml:space="preserve">The synchronization framework supports:</w:t>
      </w:r>
    </w:p>
    <w:p>
      <w:pPr>
        <w:pStyle w:val="Compact"/>
        <w:numPr>
          <w:ilvl w:val="0"/>
          <w:numId w:val="1005"/>
        </w:numPr>
      </w:pPr>
      <w:r>
        <w:t xml:space="preserve">Incremental synchronization.</w:t>
      </w:r>
    </w:p>
    <w:p>
      <w:pPr>
        <w:pStyle w:val="Compact"/>
        <w:numPr>
          <w:ilvl w:val="0"/>
          <w:numId w:val="1005"/>
        </w:numPr>
      </w:pPr>
      <w:r>
        <w:t xml:space="preserve">Encrypted transmission.</w:t>
      </w:r>
    </w:p>
    <w:p>
      <w:pPr>
        <w:pStyle w:val="Compact"/>
        <w:numPr>
          <w:ilvl w:val="0"/>
          <w:numId w:val="1005"/>
        </w:numPr>
      </w:pPr>
      <w:r>
        <w:t xml:space="preserve">Reliable delivery.</w:t>
      </w:r>
    </w:p>
    <w:p>
      <w:pPr>
        <w:pStyle w:val="Compact"/>
        <w:numPr>
          <w:ilvl w:val="0"/>
          <w:numId w:val="1005"/>
        </w:numPr>
      </w:pPr>
      <w:r>
        <w:t xml:space="preserve">Duplicate detection.</w:t>
      </w:r>
    </w:p>
    <w:p>
      <w:pPr>
        <w:pStyle w:val="Compact"/>
        <w:numPr>
          <w:ilvl w:val="0"/>
          <w:numId w:val="1005"/>
        </w:numPr>
      </w:pPr>
      <w:r>
        <w:t xml:space="preserve">Conflict identification.</w:t>
      </w:r>
    </w:p>
    <w:p>
      <w:pPr>
        <w:pStyle w:val="Compact"/>
        <w:numPr>
          <w:ilvl w:val="0"/>
          <w:numId w:val="1005"/>
        </w:numPr>
      </w:pPr>
      <w:r>
        <w:t xml:space="preserve">Transaction confirmation.</w:t>
      </w:r>
    </w:p>
    <w:p>
      <w:pPr>
        <w:pStyle w:val="Compact"/>
        <w:numPr>
          <w:ilvl w:val="0"/>
          <w:numId w:val="1005"/>
        </w:numPr>
      </w:pPr>
      <w:r>
        <w:t xml:space="preserve">Automatic retry after interruption.</w:t>
      </w:r>
    </w:p>
    <w:p>
      <w:pPr>
        <w:pStyle w:val="FirstParagraph"/>
      </w:pPr>
      <w:r>
        <w:t xml:space="preserve">These principles promote consistency while minimizing bandwidth usage.</w:t>
      </w:r>
    </w:p>
    <w:p>
      <w:r>
        <w:pict>
          <v:rect style="width:0;height:1.5pt" o:hralign="center" o:hrstd="t" o:hr="t"/>
        </w:pict>
      </w:r>
    </w:p>
    <w:bookmarkEnd w:id="30"/>
    <w:bookmarkStart w:id="31" w:name="conflict-management"/>
    <w:p>
      <w:pPr>
        <w:pStyle w:val="Heading1"/>
      </w:pPr>
      <w:r>
        <w:t xml:space="preserve">21.10 Conflict Management</w:t>
      </w:r>
    </w:p>
    <w:p>
      <w:pPr>
        <w:pStyle w:val="FirstParagraph"/>
      </w:pPr>
      <w:r>
        <w:t xml:space="preserve">Where the same information has been modified in different locations before synchronization, the platform applies predefined governance rules to identify and resolve conflicts.</w:t>
      </w:r>
    </w:p>
    <w:p>
      <w:pPr>
        <w:pStyle w:val="BodyText"/>
      </w:pPr>
      <w:r>
        <w:t xml:space="preserve">Examples include:</w:t>
      </w:r>
    </w:p>
    <w:p>
      <w:pPr>
        <w:pStyle w:val="Compact"/>
        <w:numPr>
          <w:ilvl w:val="0"/>
          <w:numId w:val="1006"/>
        </w:numPr>
      </w:pPr>
      <w:r>
        <w:t xml:space="preserve">Version comparison.</w:t>
      </w:r>
    </w:p>
    <w:p>
      <w:pPr>
        <w:pStyle w:val="Compact"/>
        <w:numPr>
          <w:ilvl w:val="0"/>
          <w:numId w:val="1006"/>
        </w:numPr>
      </w:pPr>
      <w:r>
        <w:t xml:space="preserve">Timestamp evaluation.</w:t>
      </w:r>
    </w:p>
    <w:p>
      <w:pPr>
        <w:pStyle w:val="Compact"/>
        <w:numPr>
          <w:ilvl w:val="0"/>
          <w:numId w:val="1006"/>
        </w:numPr>
      </w:pPr>
      <w:r>
        <w:t xml:space="preserve">Administrative review where required.</w:t>
      </w:r>
    </w:p>
    <w:p>
      <w:pPr>
        <w:pStyle w:val="Compact"/>
        <w:numPr>
          <w:ilvl w:val="0"/>
          <w:numId w:val="1006"/>
        </w:numPr>
      </w:pPr>
      <w:r>
        <w:t xml:space="preserve">Audit recording of all resolution actions.</w:t>
      </w:r>
    </w:p>
    <w:p>
      <w:pPr>
        <w:pStyle w:val="FirstParagraph"/>
      </w:pPr>
      <w:r>
        <w:t xml:space="preserve">Conflict resolution procedures are transparent and fully traceable.</w:t>
      </w:r>
    </w:p>
    <w:p>
      <w:r>
        <w:pict>
          <v:rect style="width:0;height:1.5pt" o:hralign="center" o:hrstd="t" o:hr="t"/>
        </w:pict>
      </w:r>
    </w:p>
    <w:bookmarkEnd w:id="31"/>
    <w:bookmarkStart w:id="32" w:name="resilience-features"/>
    <w:p>
      <w:pPr>
        <w:pStyle w:val="Heading1"/>
      </w:pPr>
      <w:r>
        <w:t xml:space="preserve">21.11 Resilience Features</w:t>
      </w:r>
    </w:p>
    <w:p>
      <w:pPr>
        <w:pStyle w:val="FirstParagraph"/>
      </w:pPr>
      <w:r>
        <w:t xml:space="preserve">The architecture incorporates resilience measures such as:</w:t>
      </w:r>
    </w:p>
    <w:p>
      <w:pPr>
        <w:pStyle w:val="Compact"/>
        <w:numPr>
          <w:ilvl w:val="0"/>
          <w:numId w:val="1007"/>
        </w:numPr>
      </w:pPr>
      <w:r>
        <w:t xml:space="preserve">Local encrypted storage.</w:t>
      </w:r>
    </w:p>
    <w:p>
      <w:pPr>
        <w:pStyle w:val="Compact"/>
        <w:numPr>
          <w:ilvl w:val="0"/>
          <w:numId w:val="1007"/>
        </w:numPr>
      </w:pPr>
      <w:r>
        <w:t xml:space="preserve">Automatic synchronization recovery.</w:t>
      </w:r>
    </w:p>
    <w:p>
      <w:pPr>
        <w:pStyle w:val="Compact"/>
        <w:numPr>
          <w:ilvl w:val="0"/>
          <w:numId w:val="1007"/>
        </w:numPr>
      </w:pPr>
      <w:r>
        <w:t xml:space="preserve">Secure backup procedures.</w:t>
      </w:r>
    </w:p>
    <w:p>
      <w:pPr>
        <w:pStyle w:val="Compact"/>
        <w:numPr>
          <w:ilvl w:val="0"/>
          <w:numId w:val="1007"/>
        </w:numPr>
      </w:pPr>
      <w:r>
        <w:t xml:space="preserve">Queue-based processing.</w:t>
      </w:r>
    </w:p>
    <w:p>
      <w:pPr>
        <w:pStyle w:val="Compact"/>
        <w:numPr>
          <w:ilvl w:val="0"/>
          <w:numId w:val="1007"/>
        </w:numPr>
      </w:pPr>
      <w:r>
        <w:t xml:space="preserve">Graceful degradation of non-essential services.</w:t>
      </w:r>
    </w:p>
    <w:p>
      <w:pPr>
        <w:pStyle w:val="Compact"/>
        <w:numPr>
          <w:ilvl w:val="0"/>
          <w:numId w:val="1007"/>
        </w:numPr>
      </w:pPr>
      <w:r>
        <w:t xml:space="preserve">Transaction recovery following power interruptions.</w:t>
      </w:r>
    </w:p>
    <w:p>
      <w:pPr>
        <w:pStyle w:val="FirstParagraph"/>
      </w:pPr>
      <w:r>
        <w:t xml:space="preserve">These capabilities support continuity of education operations.</w:t>
      </w:r>
    </w:p>
    <w:p>
      <w:r>
        <w:pict>
          <v:rect style="width:0;height:1.5pt" o:hralign="center" o:hrstd="t" o:hr="t"/>
        </w:pict>
      </w:r>
    </w:p>
    <w:bookmarkEnd w:id="32"/>
    <w:bookmarkStart w:id="33" w:name="artificial-intelligence-at-the-edge"/>
    <w:p>
      <w:pPr>
        <w:pStyle w:val="Heading1"/>
      </w:pPr>
      <w:r>
        <w:t xml:space="preserve">21.12 Artificial Intelligence at the Edge</w:t>
      </w:r>
    </w:p>
    <w:p>
      <w:pPr>
        <w:pStyle w:val="FirstParagraph"/>
      </w:pPr>
      <w:r>
        <w:t xml:space="preserve">Selected AI capabilities may operate locally to support tasks such as:</w:t>
      </w:r>
    </w:p>
    <w:p>
      <w:pPr>
        <w:pStyle w:val="Compact"/>
        <w:numPr>
          <w:ilvl w:val="0"/>
          <w:numId w:val="1008"/>
        </w:numPr>
      </w:pPr>
      <w:r>
        <w:t xml:space="preserve">Inventory validation.</w:t>
      </w:r>
    </w:p>
    <w:p>
      <w:pPr>
        <w:pStyle w:val="Compact"/>
        <w:numPr>
          <w:ilvl w:val="0"/>
          <w:numId w:val="1008"/>
        </w:numPr>
      </w:pPr>
      <w:r>
        <w:t xml:space="preserve">QR code verification.</w:t>
      </w:r>
    </w:p>
    <w:p>
      <w:pPr>
        <w:pStyle w:val="Compact"/>
        <w:numPr>
          <w:ilvl w:val="0"/>
          <w:numId w:val="1008"/>
        </w:numPr>
      </w:pPr>
      <w:r>
        <w:t xml:space="preserve">Image-assisted inspections (where implemented).</w:t>
      </w:r>
    </w:p>
    <w:p>
      <w:pPr>
        <w:pStyle w:val="Compact"/>
        <w:numPr>
          <w:ilvl w:val="0"/>
          <w:numId w:val="1008"/>
        </w:numPr>
      </w:pPr>
      <w:r>
        <w:t xml:space="preserve">Operational alerts.</w:t>
      </w:r>
    </w:p>
    <w:p>
      <w:pPr>
        <w:pStyle w:val="Compact"/>
        <w:numPr>
          <w:ilvl w:val="0"/>
          <w:numId w:val="1008"/>
        </w:numPr>
      </w:pPr>
      <w:r>
        <w:t xml:space="preserve">Preliminary analytics.</w:t>
      </w:r>
    </w:p>
    <w:p>
      <w:pPr>
        <w:pStyle w:val="FirstParagraph"/>
      </w:pPr>
      <w:r>
        <w:t xml:space="preserve">More computationally intensive analytics remain within regional or national environments.</w:t>
      </w:r>
    </w:p>
    <w:p>
      <w:r>
        <w:pict>
          <v:rect style="width:0;height:1.5pt" o:hralign="center" o:hrstd="t" o:hr="t"/>
        </w:pict>
      </w:r>
    </w:p>
    <w:bookmarkEnd w:id="33"/>
    <w:bookmarkStart w:id="40" w:name="functional-requirements"/>
    <w:p>
      <w:pPr>
        <w:pStyle w:val="Heading1"/>
      </w:pPr>
      <w:r>
        <w:t xml:space="preserve">21.13 Functional Requirements</w:t>
      </w:r>
    </w:p>
    <w:bookmarkStart w:id="34" w:name="fr-edge-001"/>
    <w:p>
      <w:pPr>
        <w:pStyle w:val="Heading3"/>
      </w:pPr>
      <w:r>
        <w:t xml:space="preserve">FR-EDGE-001</w:t>
      </w:r>
    </w:p>
    <w:p>
      <w:pPr>
        <w:pStyle w:val="FirstParagraph"/>
      </w:pPr>
      <w:r>
        <w:t xml:space="preserve">Support secure offline operation at school level.</w:t>
      </w:r>
    </w:p>
    <w:p>
      <w:r>
        <w:pict>
          <v:rect style="width:0;height:1.5pt" o:hralign="center" o:hrstd="t" o:hr="t"/>
        </w:pict>
      </w:r>
    </w:p>
    <w:bookmarkEnd w:id="34"/>
    <w:bookmarkStart w:id="35" w:name="fr-edge-002"/>
    <w:p>
      <w:pPr>
        <w:pStyle w:val="Heading3"/>
      </w:pPr>
      <w:r>
        <w:t xml:space="preserve">FR-EDGE-002</w:t>
      </w:r>
    </w:p>
    <w:p>
      <w:pPr>
        <w:pStyle w:val="FirstParagraph"/>
      </w:pPr>
      <w:r>
        <w:t xml:space="preserve">Provide encrypted synchronization with regional and national platforms.</w:t>
      </w:r>
    </w:p>
    <w:p>
      <w:r>
        <w:pict>
          <v:rect style="width:0;height:1.5pt" o:hralign="center" o:hrstd="t" o:hr="t"/>
        </w:pict>
      </w:r>
    </w:p>
    <w:bookmarkEnd w:id="35"/>
    <w:bookmarkStart w:id="36" w:name="fr-edge-003"/>
    <w:p>
      <w:pPr>
        <w:pStyle w:val="Heading3"/>
      </w:pPr>
      <w:r>
        <w:t xml:space="preserve">FR-EDGE-003</w:t>
      </w:r>
    </w:p>
    <w:p>
      <w:pPr>
        <w:pStyle w:val="FirstParagraph"/>
      </w:pPr>
      <w:r>
        <w:t xml:space="preserve">Detect and manage synchronization conflicts.</w:t>
      </w:r>
    </w:p>
    <w:p>
      <w:r>
        <w:pict>
          <v:rect style="width:0;height:1.5pt" o:hralign="center" o:hrstd="t" o:hr="t"/>
        </w:pict>
      </w:r>
    </w:p>
    <w:bookmarkEnd w:id="36"/>
    <w:bookmarkStart w:id="37" w:name="fr-edge-004"/>
    <w:p>
      <w:pPr>
        <w:pStyle w:val="Heading3"/>
      </w:pPr>
      <w:r>
        <w:t xml:space="preserve">FR-EDGE-004</w:t>
      </w:r>
    </w:p>
    <w:p>
      <w:pPr>
        <w:pStyle w:val="FirstParagraph"/>
      </w:pPr>
      <w:r>
        <w:t xml:space="preserve">Maintain complete synchronization audit trails.</w:t>
      </w:r>
    </w:p>
    <w:p>
      <w:r>
        <w:pict>
          <v:rect style="width:0;height:1.5pt" o:hralign="center" o:hrstd="t" o:hr="t"/>
        </w:pict>
      </w:r>
    </w:p>
    <w:bookmarkEnd w:id="37"/>
    <w:bookmarkStart w:id="38" w:name="fr-edge-005"/>
    <w:p>
      <w:pPr>
        <w:pStyle w:val="Heading3"/>
      </w:pPr>
      <w:r>
        <w:t xml:space="preserve">FR-EDGE-005</w:t>
      </w:r>
    </w:p>
    <w:p>
      <w:pPr>
        <w:pStyle w:val="FirstParagraph"/>
      </w:pPr>
      <w:r>
        <w:t xml:space="preserve">Support automatic recovery after connectivity interruptions.</w:t>
      </w:r>
    </w:p>
    <w:p>
      <w:r>
        <w:pict>
          <v:rect style="width:0;height:1.5pt" o:hralign="center" o:hrstd="t" o:hr="t"/>
        </w:pict>
      </w:r>
    </w:p>
    <w:bookmarkEnd w:id="38"/>
    <w:bookmarkStart w:id="39" w:name="fr-edge-006"/>
    <w:p>
      <w:pPr>
        <w:pStyle w:val="Heading3"/>
      </w:pPr>
      <w:r>
        <w:t xml:space="preserve">FR-EDGE-006</w:t>
      </w:r>
    </w:p>
    <w:p>
      <w:pPr>
        <w:pStyle w:val="FirstParagraph"/>
      </w:pPr>
      <w:r>
        <w:t xml:space="preserve">Integrate seamlessly with identity, interoperability, analytics, and monitoring services.</w:t>
      </w:r>
    </w:p>
    <w:p>
      <w:r>
        <w:pict>
          <v:rect style="width:0;height:1.5pt" o:hralign="center" o:hrstd="t" o:hr="t"/>
        </w:pict>
      </w:r>
    </w:p>
    <w:bookmarkEnd w:id="39"/>
    <w:bookmarkEnd w:id="40"/>
    <w:bookmarkStart w:id="41" w:name="key-performance-indicators"/>
    <w:p>
      <w:pPr>
        <w:pStyle w:val="Heading1"/>
      </w:pPr>
      <w:r>
        <w:t xml:space="preserve">21.14 Key Performance Indicators</w:t>
      </w:r>
    </w:p>
    <w:p>
      <w:pPr>
        <w:pStyle w:val="FirstParagraph"/>
      </w:pPr>
      <w:r>
        <w:t xml:space="preserve">Illustrative indicators include:</w:t>
      </w:r>
    </w:p>
    <w:p>
      <w:pPr>
        <w:pStyle w:val="Compact"/>
        <w:numPr>
          <w:ilvl w:val="0"/>
          <w:numId w:val="1009"/>
        </w:numPr>
      </w:pPr>
      <w:r>
        <w:t xml:space="preserve">Synchronization success rate.</w:t>
      </w:r>
    </w:p>
    <w:p>
      <w:pPr>
        <w:pStyle w:val="Compact"/>
        <w:numPr>
          <w:ilvl w:val="0"/>
          <w:numId w:val="1009"/>
        </w:numPr>
      </w:pPr>
      <w:r>
        <w:t xml:space="preserve">Average synchronization time.</w:t>
      </w:r>
    </w:p>
    <w:p>
      <w:pPr>
        <w:pStyle w:val="Compact"/>
        <w:numPr>
          <w:ilvl w:val="0"/>
          <w:numId w:val="1009"/>
        </w:numPr>
      </w:pPr>
      <w:r>
        <w:t xml:space="preserve">Number of unresolved synchronization conflicts.</w:t>
      </w:r>
    </w:p>
    <w:p>
      <w:pPr>
        <w:pStyle w:val="Compact"/>
        <w:numPr>
          <w:ilvl w:val="0"/>
          <w:numId w:val="1009"/>
        </w:numPr>
      </w:pPr>
      <w:r>
        <w:t xml:space="preserve">Percentage of schools operating successfully offline.</w:t>
      </w:r>
    </w:p>
    <w:p>
      <w:pPr>
        <w:pStyle w:val="Compact"/>
        <w:numPr>
          <w:ilvl w:val="0"/>
          <w:numId w:val="1009"/>
        </w:numPr>
      </w:pPr>
      <w:r>
        <w:t xml:space="preserve">Data consistency across platform layers.</w:t>
      </w:r>
    </w:p>
    <w:p>
      <w:pPr>
        <w:pStyle w:val="Compact"/>
        <w:numPr>
          <w:ilvl w:val="0"/>
          <w:numId w:val="1009"/>
        </w:numPr>
      </w:pPr>
      <w:r>
        <w:t xml:space="preserve">Recovery time after network interruption.</w:t>
      </w:r>
    </w:p>
    <w:p>
      <w:pPr>
        <w:pStyle w:val="Compact"/>
        <w:numPr>
          <w:ilvl w:val="0"/>
          <w:numId w:val="1009"/>
        </w:numPr>
      </w:pPr>
      <w:r>
        <w:t xml:space="preserve">Platform availability.</w:t>
      </w:r>
    </w:p>
    <w:p>
      <w:r>
        <w:pict>
          <v:rect style="width:0;height:1.5pt" o:hralign="center" o:hrstd="t" o:hr="t"/>
        </w:pict>
      </w:r>
    </w:p>
    <w:bookmarkEnd w:id="41"/>
    <w:bookmarkStart w:id="42" w:name="expected-benefits"/>
    <w:p>
      <w:pPr>
        <w:pStyle w:val="Heading1"/>
      </w:pPr>
      <w:r>
        <w:t xml:space="preserve">21.15 Expected Benefits</w:t>
      </w:r>
    </w:p>
    <w:p>
      <w:pPr>
        <w:pStyle w:val="FirstParagraph"/>
      </w:pPr>
      <w:r>
        <w:t xml:space="preserve">The hybrid cloud and edge architecture is expected to contribute to:</w:t>
      </w:r>
    </w:p>
    <w:p>
      <w:pPr>
        <w:pStyle w:val="Compact"/>
        <w:numPr>
          <w:ilvl w:val="0"/>
          <w:numId w:val="1010"/>
        </w:numPr>
      </w:pPr>
      <w:r>
        <w:t xml:space="preserve">Continuous school operations.</w:t>
      </w:r>
    </w:p>
    <w:p>
      <w:pPr>
        <w:pStyle w:val="Compact"/>
        <w:numPr>
          <w:ilvl w:val="0"/>
          <w:numId w:val="1010"/>
        </w:numPr>
      </w:pPr>
      <w:r>
        <w:t xml:space="preserve">Improved resilience in low-connectivity environments.</w:t>
      </w:r>
    </w:p>
    <w:p>
      <w:pPr>
        <w:pStyle w:val="Compact"/>
        <w:numPr>
          <w:ilvl w:val="0"/>
          <w:numId w:val="1010"/>
        </w:numPr>
      </w:pPr>
      <w:r>
        <w:t xml:space="preserve">Reduced bandwidth consumption.</w:t>
      </w:r>
    </w:p>
    <w:p>
      <w:pPr>
        <w:pStyle w:val="Compact"/>
        <w:numPr>
          <w:ilvl w:val="0"/>
          <w:numId w:val="1010"/>
        </w:numPr>
      </w:pPr>
      <w:r>
        <w:t xml:space="preserve">Faster local system responsiveness.</w:t>
      </w:r>
    </w:p>
    <w:p>
      <w:pPr>
        <w:pStyle w:val="Compact"/>
        <w:numPr>
          <w:ilvl w:val="0"/>
          <w:numId w:val="1010"/>
        </w:numPr>
      </w:pPr>
      <w:r>
        <w:t xml:space="preserve">Better operational continuity.</w:t>
      </w:r>
    </w:p>
    <w:p>
      <w:pPr>
        <w:pStyle w:val="Compact"/>
        <w:numPr>
          <w:ilvl w:val="0"/>
          <w:numId w:val="1010"/>
        </w:numPr>
      </w:pPr>
      <w:r>
        <w:t xml:space="preserve">Stronger disaster resilience.</w:t>
      </w:r>
    </w:p>
    <w:p>
      <w:pPr>
        <w:pStyle w:val="Compact"/>
        <w:numPr>
          <w:ilvl w:val="0"/>
          <w:numId w:val="1010"/>
        </w:numPr>
      </w:pPr>
      <w:r>
        <w:t xml:space="preserve">Efficient nationwide scalability.</w:t>
      </w:r>
    </w:p>
    <w:p>
      <w:pPr>
        <w:pStyle w:val="FirstParagraph"/>
      </w:pPr>
      <w:r>
        <w:t xml:space="preserve">These benefits depend on reliable synchronization mechanisms, effective governance, and appropriate operational support.</w:t>
      </w:r>
    </w:p>
    <w:p>
      <w:r>
        <w:pict>
          <v:rect style="width:0;height:1.5pt" o:hralign="center" o:hrstd="t" o:hr="t"/>
        </w:pict>
      </w:r>
    </w:p>
    <w:bookmarkEnd w:id="42"/>
    <w:bookmarkStart w:id="43" w:name="chapter-summary"/>
    <w:p>
      <w:pPr>
        <w:pStyle w:val="Heading1"/>
      </w:pPr>
      <w:r>
        <w:t xml:space="preserve">21.16 Chapter Summary</w:t>
      </w:r>
    </w:p>
    <w:p>
      <w:pPr>
        <w:pStyle w:val="FirstParagraph"/>
      </w:pPr>
      <w:r>
        <w:t xml:space="preserve">The National Cloud, Edge Computing and Offline Synchronization Architecture enables EduOS Cameroon to function effectively across diverse operating environments.</w:t>
      </w:r>
    </w:p>
    <w:p>
      <w:pPr>
        <w:pStyle w:val="BodyText"/>
      </w:pPr>
      <w:r>
        <w:t xml:space="preserve">By combining centralized national services with regional infrastructure and intelligent school-level processing, the platform supports uninterrupted education operations while maintaining a unified national information environment.</w:t>
      </w:r>
    </w:p>
    <w:p>
      <w:pPr>
        <w:pStyle w:val="BodyText"/>
      </w:pPr>
      <w:r>
        <w:t xml:space="preserve">This architecture reflects Cameroon’s connectivity realities and provides a sustainable technical foundation for nationwide digital education services.</w:t>
      </w:r>
    </w:p>
    <w:p>
      <w:pPr>
        <w:pStyle w:val="BodyText"/>
      </w:pPr>
      <w:r>
        <w:t xml:space="preserve">The next chapter examines the</w:t>
      </w:r>
      <w:r>
        <w:t xml:space="preserve"> </w:t>
      </w:r>
      <w:r>
        <w:rPr>
          <w:b/>
          <w:bCs/>
        </w:rPr>
        <w:t xml:space="preserve">National Implementation, Change Management and Capacity Building Framework</w:t>
      </w:r>
      <w:r>
        <w:t xml:space="preserve">, focusing on how EduOS Cameroon can be introduced progressively, supported by training, stakeholder engagement, and institutional adoption strategies.</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2026-07-10T14:22:21Z</dcterms:created>
  <dcterms:modified xsi:type="dcterms:W3CDTF">2026-07-10T14:22:21Z</dcterms:modified>
</cp:coreProperties>
</file>

<file path=docProps/custom.xml><?xml version="1.0" encoding="utf-8"?>
<Properties xmlns="http://schemas.openxmlformats.org/officeDocument/2006/custom-properties" xmlns:vt="http://schemas.openxmlformats.org/officeDocument/2006/docPropsVTypes"/>
</file>