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9"/>
    <w:p>
      <w:pPr>
        <w:pStyle w:val="Heading1"/>
      </w:pPr>
      <w:r>
        <w:t xml:space="preserve">CHAPTER 9</w:t>
      </w:r>
    </w:p>
    <w:bookmarkEnd w:id="20"/>
    <w:bookmarkStart w:id="22" w:name="Xba0605677d9302d26e19bfac68d0471aa16d243"/>
    <w:p>
      <w:pPr>
        <w:pStyle w:val="Heading1"/>
      </w:pPr>
      <w:r>
        <w:t xml:space="preserve">NATIONAL EDUCATION ASSET PASSPORT FRAMEWORK (NEAPF)</w:t>
      </w:r>
    </w:p>
    <w:bookmarkStart w:id="21" w:name="introduction"/>
    <w:p>
      <w:pPr>
        <w:pStyle w:val="Heading2"/>
      </w:pPr>
      <w:r>
        <w:t xml:space="preserve">9.1 Introduction</w:t>
      </w:r>
    </w:p>
    <w:p>
      <w:pPr>
        <w:pStyle w:val="FirstParagraph"/>
      </w:pPr>
      <w:r>
        <w:t xml:space="preserve">Educational service delivery depends upon a wide range of physical assets beyond textbooks. Schools require furniture, laboratory equipment, ICT devices, library resources, sports equipment, power systems, water infrastructure, and administrative equipment to provide quality education.</w:t>
      </w:r>
    </w:p>
    <w:p>
      <w:pPr>
        <w:pStyle w:val="BodyText"/>
      </w:pPr>
      <w:r>
        <w:t xml:space="preserve">Traditionally, these assets are managed through separate registers, spreadsheets, paper records, or localized inventory systems. This fragmentation can make it difficult to obtain a complete national picture of asset ownership, utilization, condition, maintenance requirements, and replacement priorities.</w:t>
      </w:r>
    </w:p>
    <w:p>
      <w:pPr>
        <w:pStyle w:val="BodyText"/>
      </w:pPr>
      <w:r>
        <w:t xml:space="preserve">EduOS Cameroon introduces the National Education Asset Passport Framework (NEAPF), which assigns a permanent digital identity to every significant educational asset and records its complete operational lifecycle.</w:t>
      </w:r>
    </w:p>
    <w:p>
      <w:pPr>
        <w:pStyle w:val="BodyText"/>
      </w:pPr>
      <w:r>
        <w:t xml:space="preserve">The framework establishes a unified national asset register that supports planning, accountability, maintenance, and long-term investment management.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9.2 Vision</w:t>
      </w:r>
    </w:p>
    <w:p>
      <w:pPr>
        <w:pStyle w:val="FirstParagraph"/>
      </w:pPr>
      <w:r>
        <w:t xml:space="preserve">Every strategic educational asset owned by the State should possess a secure digital passport that documents its complete history from acquisition through retirement.</w:t>
      </w:r>
    </w:p>
    <w:p>
      <w:pPr>
        <w:pStyle w:val="BodyText"/>
      </w:pPr>
      <w:r>
        <w:t xml:space="preserve">The framework enables authorized users to understand:</w:t>
      </w:r>
    </w:p>
    <w:p>
      <w:pPr>
        <w:pStyle w:val="Compact"/>
        <w:numPr>
          <w:ilvl w:val="0"/>
          <w:numId w:val="1001"/>
        </w:numPr>
      </w:pPr>
      <w:r>
        <w:t xml:space="preserve">What assets exist.</w:t>
      </w:r>
    </w:p>
    <w:p>
      <w:pPr>
        <w:pStyle w:val="Compact"/>
        <w:numPr>
          <w:ilvl w:val="0"/>
          <w:numId w:val="1001"/>
        </w:numPr>
      </w:pPr>
      <w:r>
        <w:t xml:space="preserve">Where they are located.</w:t>
      </w:r>
    </w:p>
    <w:p>
      <w:pPr>
        <w:pStyle w:val="Compact"/>
        <w:numPr>
          <w:ilvl w:val="0"/>
          <w:numId w:val="1001"/>
        </w:numPr>
      </w:pPr>
      <w:r>
        <w:t xml:space="preserve">Their operational condition.</w:t>
      </w:r>
    </w:p>
    <w:p>
      <w:pPr>
        <w:pStyle w:val="Compact"/>
        <w:numPr>
          <w:ilvl w:val="0"/>
          <w:numId w:val="1001"/>
        </w:numPr>
      </w:pPr>
      <w:r>
        <w:t xml:space="preserve">Their maintenance history.</w:t>
      </w:r>
    </w:p>
    <w:p>
      <w:pPr>
        <w:pStyle w:val="Compact"/>
        <w:numPr>
          <w:ilvl w:val="0"/>
          <w:numId w:val="1001"/>
        </w:numPr>
      </w:pPr>
      <w:r>
        <w:t xml:space="preserve">Their utilization.</w:t>
      </w:r>
    </w:p>
    <w:p>
      <w:pPr>
        <w:pStyle w:val="Compact"/>
        <w:numPr>
          <w:ilvl w:val="0"/>
          <w:numId w:val="1001"/>
        </w:numPr>
      </w:pPr>
      <w:r>
        <w:t xml:space="preserve">Their remaining useful life.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9.3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2"/>
        </w:numPr>
      </w:pPr>
      <w:r>
        <w:t xml:space="preserve">Strengthen public asset accountability.</w:t>
      </w:r>
    </w:p>
    <w:p>
      <w:pPr>
        <w:pStyle w:val="Compact"/>
        <w:numPr>
          <w:ilvl w:val="0"/>
          <w:numId w:val="1002"/>
        </w:numPr>
      </w:pPr>
      <w:r>
        <w:t xml:space="preserve">Improve national asset visibility.</w:t>
      </w:r>
    </w:p>
    <w:p>
      <w:pPr>
        <w:pStyle w:val="Compact"/>
        <w:numPr>
          <w:ilvl w:val="0"/>
          <w:numId w:val="1002"/>
        </w:numPr>
      </w:pPr>
      <w:r>
        <w:t xml:space="preserve">Support preventive maintenance.</w:t>
      </w:r>
    </w:p>
    <w:p>
      <w:pPr>
        <w:pStyle w:val="Compact"/>
        <w:numPr>
          <w:ilvl w:val="0"/>
          <w:numId w:val="1002"/>
        </w:numPr>
      </w:pPr>
      <w:r>
        <w:t xml:space="preserve">Improve replacement planning.</w:t>
      </w:r>
    </w:p>
    <w:p>
      <w:pPr>
        <w:pStyle w:val="Compact"/>
        <w:numPr>
          <w:ilvl w:val="0"/>
          <w:numId w:val="1002"/>
        </w:numPr>
      </w:pPr>
      <w:r>
        <w:t xml:space="preserve">Reduce avoidable losses.</w:t>
      </w:r>
    </w:p>
    <w:p>
      <w:pPr>
        <w:pStyle w:val="Compact"/>
        <w:numPr>
          <w:ilvl w:val="0"/>
          <w:numId w:val="1002"/>
        </w:numPr>
      </w:pPr>
      <w:r>
        <w:t xml:space="preserve">Support evidence-based budgeting.</w:t>
      </w:r>
    </w:p>
    <w:p>
      <w:pPr>
        <w:pStyle w:val="Compact"/>
        <w:numPr>
          <w:ilvl w:val="0"/>
          <w:numId w:val="1002"/>
        </w:numPr>
      </w:pPr>
      <w:r>
        <w:t xml:space="preserve">Improve audit readiness.</w:t>
      </w:r>
    </w:p>
    <w:p>
      <w:pPr>
        <w:pStyle w:val="Compact"/>
        <w:numPr>
          <w:ilvl w:val="0"/>
          <w:numId w:val="1002"/>
        </w:numPr>
      </w:pPr>
      <w:r>
        <w:t xml:space="preserve">Maximize asset utilization.</w:t>
      </w:r>
    </w:p>
    <w:p>
      <w:r>
        <w:pict>
          <v:rect style="width:0;height:1.5pt" o:hralign="center" o:hrstd="t" o:hr="t"/>
        </w:pict>
      </w:r>
    </w:p>
    <w:bookmarkEnd w:id="24"/>
    <w:bookmarkStart w:id="31" w:name="asset-categories"/>
    <w:p>
      <w:pPr>
        <w:pStyle w:val="Heading1"/>
      </w:pPr>
      <w:r>
        <w:t xml:space="preserve">9.4 Asset Categories</w:t>
      </w:r>
    </w:p>
    <w:p>
      <w:pPr>
        <w:pStyle w:val="FirstParagraph"/>
      </w:pPr>
      <w:r>
        <w:t xml:space="preserve">Illustrative categories include:</w:t>
      </w:r>
    </w:p>
    <w:bookmarkStart w:id="25" w:name="learning-resources"/>
    <w:p>
      <w:pPr>
        <w:pStyle w:val="Heading3"/>
      </w:pPr>
      <w:r>
        <w:t xml:space="preserve">Learning Resources</w:t>
      </w:r>
    </w:p>
    <w:p>
      <w:pPr>
        <w:pStyle w:val="Compact"/>
        <w:numPr>
          <w:ilvl w:val="0"/>
          <w:numId w:val="1003"/>
        </w:numPr>
      </w:pPr>
      <w:r>
        <w:t xml:space="preserve">Textbooks.</w:t>
      </w:r>
    </w:p>
    <w:p>
      <w:pPr>
        <w:pStyle w:val="Compact"/>
        <w:numPr>
          <w:ilvl w:val="0"/>
          <w:numId w:val="1003"/>
        </w:numPr>
      </w:pPr>
      <w:r>
        <w:t xml:space="preserve">Library books.</w:t>
      </w:r>
    </w:p>
    <w:p>
      <w:pPr>
        <w:pStyle w:val="Compact"/>
        <w:numPr>
          <w:ilvl w:val="0"/>
          <w:numId w:val="1003"/>
        </w:numPr>
      </w:pPr>
      <w:r>
        <w:t xml:space="preserve">Teacher guides.</w:t>
      </w:r>
    </w:p>
    <w:p>
      <w:pPr>
        <w:pStyle w:val="Compact"/>
        <w:numPr>
          <w:ilvl w:val="0"/>
          <w:numId w:val="1003"/>
        </w:numPr>
      </w:pPr>
      <w:r>
        <w:t xml:space="preserve">Maps.</w:t>
      </w:r>
    </w:p>
    <w:p>
      <w:pPr>
        <w:pStyle w:val="Compact"/>
        <w:numPr>
          <w:ilvl w:val="0"/>
          <w:numId w:val="1003"/>
        </w:numPr>
      </w:pPr>
      <w:r>
        <w:t xml:space="preserve">Teaching aids.</w:t>
      </w:r>
    </w:p>
    <w:p>
      <w:r>
        <w:pict>
          <v:rect style="width:0;height:1.5pt" o:hralign="center" o:hrstd="t" o:hr="t"/>
        </w:pict>
      </w:r>
    </w:p>
    <w:bookmarkEnd w:id="25"/>
    <w:bookmarkStart w:id="26" w:name="ict-assets"/>
    <w:p>
      <w:pPr>
        <w:pStyle w:val="Heading3"/>
      </w:pPr>
      <w:r>
        <w:t xml:space="preserve">ICT Assets</w:t>
      </w:r>
    </w:p>
    <w:p>
      <w:pPr>
        <w:pStyle w:val="Compact"/>
        <w:numPr>
          <w:ilvl w:val="0"/>
          <w:numId w:val="1004"/>
        </w:numPr>
      </w:pPr>
      <w:r>
        <w:t xml:space="preserve">Desktop computers.</w:t>
      </w:r>
    </w:p>
    <w:p>
      <w:pPr>
        <w:pStyle w:val="Compact"/>
        <w:numPr>
          <w:ilvl w:val="0"/>
          <w:numId w:val="1004"/>
        </w:numPr>
      </w:pPr>
      <w:r>
        <w:t xml:space="preserve">Laptops.</w:t>
      </w:r>
    </w:p>
    <w:p>
      <w:pPr>
        <w:pStyle w:val="Compact"/>
        <w:numPr>
          <w:ilvl w:val="0"/>
          <w:numId w:val="1004"/>
        </w:numPr>
      </w:pPr>
      <w:r>
        <w:t xml:space="preserve">Tablets.</w:t>
      </w:r>
    </w:p>
    <w:p>
      <w:pPr>
        <w:pStyle w:val="Compact"/>
        <w:numPr>
          <w:ilvl w:val="0"/>
          <w:numId w:val="1004"/>
        </w:numPr>
      </w:pPr>
      <w:r>
        <w:t xml:space="preserve">Servers.</w:t>
      </w:r>
    </w:p>
    <w:p>
      <w:pPr>
        <w:pStyle w:val="Compact"/>
        <w:numPr>
          <w:ilvl w:val="0"/>
          <w:numId w:val="1004"/>
        </w:numPr>
      </w:pPr>
      <w:r>
        <w:t xml:space="preserve">Printers.</w:t>
      </w:r>
    </w:p>
    <w:p>
      <w:pPr>
        <w:pStyle w:val="Compact"/>
        <w:numPr>
          <w:ilvl w:val="0"/>
          <w:numId w:val="1004"/>
        </w:numPr>
      </w:pPr>
      <w:r>
        <w:t xml:space="preserve">Interactive displays.</w:t>
      </w:r>
    </w:p>
    <w:p>
      <w:pPr>
        <w:pStyle w:val="Compact"/>
        <w:numPr>
          <w:ilvl w:val="0"/>
          <w:numId w:val="1004"/>
        </w:numPr>
      </w:pPr>
      <w:r>
        <w:t xml:space="preserve">Networking equipment.</w:t>
      </w:r>
    </w:p>
    <w:p>
      <w:r>
        <w:pict>
          <v:rect style="width:0;height:1.5pt" o:hralign="center" o:hrstd="t" o:hr="t"/>
        </w:pict>
      </w:r>
    </w:p>
    <w:bookmarkEnd w:id="26"/>
    <w:bookmarkStart w:id="27" w:name="laboratory-assets"/>
    <w:p>
      <w:pPr>
        <w:pStyle w:val="Heading3"/>
      </w:pPr>
      <w:r>
        <w:t xml:space="preserve">Laboratory Assets</w:t>
      </w:r>
    </w:p>
    <w:p>
      <w:pPr>
        <w:pStyle w:val="Compact"/>
        <w:numPr>
          <w:ilvl w:val="0"/>
          <w:numId w:val="1005"/>
        </w:numPr>
      </w:pPr>
      <w:r>
        <w:t xml:space="preserve">Science equipment.</w:t>
      </w:r>
    </w:p>
    <w:p>
      <w:pPr>
        <w:pStyle w:val="Compact"/>
        <w:numPr>
          <w:ilvl w:val="0"/>
          <w:numId w:val="1005"/>
        </w:numPr>
      </w:pPr>
      <w:r>
        <w:t xml:space="preserve">Technical training equipment.</w:t>
      </w:r>
    </w:p>
    <w:p>
      <w:pPr>
        <w:pStyle w:val="Compact"/>
        <w:numPr>
          <w:ilvl w:val="0"/>
          <w:numId w:val="1005"/>
        </w:numPr>
      </w:pPr>
      <w:r>
        <w:t xml:space="preserve">Measurement instruments.</w:t>
      </w:r>
    </w:p>
    <w:p>
      <w:pPr>
        <w:pStyle w:val="Compact"/>
        <w:numPr>
          <w:ilvl w:val="0"/>
          <w:numId w:val="1005"/>
        </w:numPr>
      </w:pPr>
      <w:r>
        <w:t xml:space="preserve">Laboratory furniture.</w:t>
      </w:r>
    </w:p>
    <w:p>
      <w:r>
        <w:pict>
          <v:rect style="width:0;height:1.5pt" o:hralign="center" o:hrstd="t" o:hr="t"/>
        </w:pict>
      </w:r>
    </w:p>
    <w:bookmarkEnd w:id="27"/>
    <w:bookmarkStart w:id="28" w:name="classroom-assets"/>
    <w:p>
      <w:pPr>
        <w:pStyle w:val="Heading3"/>
      </w:pPr>
      <w:r>
        <w:t xml:space="preserve">Classroom Assets</w:t>
      </w:r>
    </w:p>
    <w:p>
      <w:pPr>
        <w:pStyle w:val="Compact"/>
        <w:numPr>
          <w:ilvl w:val="0"/>
          <w:numId w:val="1006"/>
        </w:numPr>
      </w:pPr>
      <w:r>
        <w:t xml:space="preserve">Desks.</w:t>
      </w:r>
    </w:p>
    <w:p>
      <w:pPr>
        <w:pStyle w:val="Compact"/>
        <w:numPr>
          <w:ilvl w:val="0"/>
          <w:numId w:val="1006"/>
        </w:numPr>
      </w:pPr>
      <w:r>
        <w:t xml:space="preserve">Chairs.</w:t>
      </w:r>
    </w:p>
    <w:p>
      <w:pPr>
        <w:pStyle w:val="Compact"/>
        <w:numPr>
          <w:ilvl w:val="0"/>
          <w:numId w:val="1006"/>
        </w:numPr>
      </w:pPr>
      <w:r>
        <w:t xml:space="preserve">Whiteboards.</w:t>
      </w:r>
    </w:p>
    <w:p>
      <w:pPr>
        <w:pStyle w:val="Compact"/>
        <w:numPr>
          <w:ilvl w:val="0"/>
          <w:numId w:val="1006"/>
        </w:numPr>
      </w:pPr>
      <w:r>
        <w:t xml:space="preserve">Cupboards.</w:t>
      </w:r>
    </w:p>
    <w:p>
      <w:pPr>
        <w:pStyle w:val="Compact"/>
        <w:numPr>
          <w:ilvl w:val="0"/>
          <w:numId w:val="1006"/>
        </w:numPr>
      </w:pPr>
      <w:r>
        <w:t xml:space="preserve">Shelving.</w:t>
      </w:r>
    </w:p>
    <w:p>
      <w:r>
        <w:pict>
          <v:rect style="width:0;height:1.5pt" o:hralign="center" o:hrstd="t" o:hr="t"/>
        </w:pict>
      </w:r>
    </w:p>
    <w:bookmarkEnd w:id="28"/>
    <w:bookmarkStart w:id="29" w:name="infrastructure-assets"/>
    <w:p>
      <w:pPr>
        <w:pStyle w:val="Heading3"/>
      </w:pPr>
      <w:r>
        <w:t xml:space="preserve">Infrastructure Assets</w:t>
      </w:r>
    </w:p>
    <w:p>
      <w:pPr>
        <w:pStyle w:val="Compact"/>
        <w:numPr>
          <w:ilvl w:val="0"/>
          <w:numId w:val="1007"/>
        </w:numPr>
      </w:pPr>
      <w:r>
        <w:t xml:space="preserve">Solar systems.</w:t>
      </w:r>
    </w:p>
    <w:p>
      <w:pPr>
        <w:pStyle w:val="Compact"/>
        <w:numPr>
          <w:ilvl w:val="0"/>
          <w:numId w:val="1007"/>
        </w:numPr>
      </w:pPr>
      <w:r>
        <w:t xml:space="preserve">Boreholes.</w:t>
      </w:r>
    </w:p>
    <w:p>
      <w:pPr>
        <w:pStyle w:val="Compact"/>
        <w:numPr>
          <w:ilvl w:val="0"/>
          <w:numId w:val="1007"/>
        </w:numPr>
      </w:pPr>
      <w:r>
        <w:t xml:space="preserve">Water tanks.</w:t>
      </w:r>
    </w:p>
    <w:p>
      <w:pPr>
        <w:pStyle w:val="Compact"/>
        <w:numPr>
          <w:ilvl w:val="0"/>
          <w:numId w:val="1007"/>
        </w:numPr>
      </w:pPr>
      <w:r>
        <w:t xml:space="preserve">School generators.</w:t>
      </w:r>
    </w:p>
    <w:p>
      <w:pPr>
        <w:pStyle w:val="Compact"/>
        <w:numPr>
          <w:ilvl w:val="0"/>
          <w:numId w:val="1007"/>
        </w:numPr>
      </w:pPr>
      <w:r>
        <w:t xml:space="preserve">Sanitation facilities.</w:t>
      </w:r>
    </w:p>
    <w:p>
      <w:pPr>
        <w:pStyle w:val="Compact"/>
        <w:numPr>
          <w:ilvl w:val="0"/>
          <w:numId w:val="1007"/>
        </w:numPr>
      </w:pPr>
      <w:r>
        <w:t xml:space="preserve">Classroom buildings.</w:t>
      </w:r>
    </w:p>
    <w:p>
      <w:r>
        <w:pict>
          <v:rect style="width:0;height:1.5pt" o:hralign="center" o:hrstd="t" o:hr="t"/>
        </w:pict>
      </w:r>
    </w:p>
    <w:bookmarkEnd w:id="29"/>
    <w:bookmarkStart w:id="30" w:name="administrative-assets"/>
    <w:p>
      <w:pPr>
        <w:pStyle w:val="Heading3"/>
      </w:pPr>
      <w:r>
        <w:t xml:space="preserve">Administrative Assets</w:t>
      </w:r>
    </w:p>
    <w:p>
      <w:pPr>
        <w:pStyle w:val="Compact"/>
        <w:numPr>
          <w:ilvl w:val="0"/>
          <w:numId w:val="1008"/>
        </w:numPr>
      </w:pPr>
      <w:r>
        <w:t xml:space="preserve">Office equipment.</w:t>
      </w:r>
    </w:p>
    <w:p>
      <w:pPr>
        <w:pStyle w:val="Compact"/>
        <w:numPr>
          <w:ilvl w:val="0"/>
          <w:numId w:val="1008"/>
        </w:numPr>
      </w:pPr>
      <w:r>
        <w:t xml:space="preserve">Filing systems.</w:t>
      </w:r>
    </w:p>
    <w:p>
      <w:pPr>
        <w:pStyle w:val="Compact"/>
        <w:numPr>
          <w:ilvl w:val="0"/>
          <w:numId w:val="1008"/>
        </w:numPr>
      </w:pPr>
      <w:r>
        <w:t xml:space="preserve">Communication equipment.</w:t>
      </w:r>
    </w:p>
    <w:p>
      <w:pPr>
        <w:pStyle w:val="Compact"/>
        <w:numPr>
          <w:ilvl w:val="0"/>
          <w:numId w:val="1008"/>
        </w:numPr>
      </w:pPr>
      <w:r>
        <w:t xml:space="preserve">Conference facilities.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sset-lifecycle"/>
    <w:p>
      <w:pPr>
        <w:pStyle w:val="Heading1"/>
      </w:pPr>
      <w:r>
        <w:t xml:space="preserve">9.5 Asset Lifecycle</w:t>
      </w:r>
    </w:p>
    <w:p>
      <w:pPr>
        <w:pStyle w:val="FirstParagraph"/>
      </w:pPr>
      <w:r>
        <w:rPr>
          <w:rStyle w:val="VerbatimChar"/>
        </w:rPr>
        <w:t xml:space="preserve">text id="asset001" Planning       │       ▼ Procurement       │       ▼ Registration       │       ▼ Deployment       │       ▼ Operational Use       │       ▼ Inspection       │       ▼ Maintenance       │       ▼ Transfer (where applicable)       │       ▼ Replacement       │       ▼ Retirement</w:t>
      </w:r>
    </w:p>
    <w:p>
      <w:pPr>
        <w:pStyle w:val="BodyText"/>
      </w:pPr>
      <w:r>
        <w:t xml:space="preserve">Each stage contributes to the permanent digital history of the asset.</w:t>
      </w:r>
    </w:p>
    <w:p>
      <w:r>
        <w:pict>
          <v:rect style="width:0;height:1.5pt" o:hralign="center" o:hrstd="t" o:hr="t"/>
        </w:pict>
      </w:r>
    </w:p>
    <w:bookmarkEnd w:id="32"/>
    <w:bookmarkStart w:id="38" w:name="asset-passport-information"/>
    <w:p>
      <w:pPr>
        <w:pStyle w:val="Heading1"/>
      </w:pPr>
      <w:r>
        <w:t xml:space="preserve">9.6 Asset Passport Information</w:t>
      </w:r>
    </w:p>
    <w:p>
      <w:pPr>
        <w:pStyle w:val="FirstParagraph"/>
      </w:pPr>
      <w:r>
        <w:t xml:space="preserve">Each asset passport may include:</w:t>
      </w:r>
    </w:p>
    <w:bookmarkStart w:id="33" w:name="identity"/>
    <w:p>
      <w:pPr>
        <w:pStyle w:val="Heading3"/>
      </w:pPr>
      <w:r>
        <w:t xml:space="preserve">Identity</w:t>
      </w:r>
    </w:p>
    <w:p>
      <w:pPr>
        <w:pStyle w:val="Compact"/>
        <w:numPr>
          <w:ilvl w:val="0"/>
          <w:numId w:val="1009"/>
        </w:numPr>
      </w:pPr>
      <w:r>
        <w:t xml:space="preserve">Asset Passport Number.</w:t>
      </w:r>
    </w:p>
    <w:p>
      <w:pPr>
        <w:pStyle w:val="Compact"/>
        <w:numPr>
          <w:ilvl w:val="0"/>
          <w:numId w:val="1009"/>
        </w:numPr>
      </w:pPr>
      <w:r>
        <w:t xml:space="preserve">QR code.</w:t>
      </w:r>
    </w:p>
    <w:p>
      <w:pPr>
        <w:pStyle w:val="Compact"/>
        <w:numPr>
          <w:ilvl w:val="0"/>
          <w:numId w:val="1009"/>
        </w:numPr>
      </w:pPr>
      <w:r>
        <w:t xml:space="preserve">Barcode.</w:t>
      </w:r>
    </w:p>
    <w:p>
      <w:pPr>
        <w:pStyle w:val="Compact"/>
        <w:numPr>
          <w:ilvl w:val="0"/>
          <w:numId w:val="1009"/>
        </w:numPr>
      </w:pPr>
      <w:r>
        <w:t xml:space="preserve">Asset category.</w:t>
      </w:r>
    </w:p>
    <w:p>
      <w:pPr>
        <w:pStyle w:val="Compact"/>
        <w:numPr>
          <w:ilvl w:val="0"/>
          <w:numId w:val="1009"/>
        </w:numPr>
      </w:pPr>
      <w:r>
        <w:t xml:space="preserve">Manufacturer.</w:t>
      </w:r>
    </w:p>
    <w:p>
      <w:pPr>
        <w:pStyle w:val="Compact"/>
        <w:numPr>
          <w:ilvl w:val="0"/>
          <w:numId w:val="1009"/>
        </w:numPr>
      </w:pPr>
      <w:r>
        <w:t xml:space="preserve">Model.</w:t>
      </w:r>
    </w:p>
    <w:p>
      <w:pPr>
        <w:pStyle w:val="Compact"/>
        <w:numPr>
          <w:ilvl w:val="0"/>
          <w:numId w:val="1009"/>
        </w:numPr>
      </w:pPr>
      <w:r>
        <w:t xml:space="preserve">Serial number (where applicable).</w:t>
      </w:r>
    </w:p>
    <w:p>
      <w:r>
        <w:pict>
          <v:rect style="width:0;height:1.5pt" o:hralign="center" o:hrstd="t" o:hr="t"/>
        </w:pict>
      </w:r>
    </w:p>
    <w:bookmarkEnd w:id="33"/>
    <w:bookmarkStart w:id="34" w:name="acquisition"/>
    <w:p>
      <w:pPr>
        <w:pStyle w:val="Heading3"/>
      </w:pPr>
      <w:r>
        <w:t xml:space="preserve">Acquisition</w:t>
      </w:r>
    </w:p>
    <w:p>
      <w:pPr>
        <w:pStyle w:val="Compact"/>
        <w:numPr>
          <w:ilvl w:val="0"/>
          <w:numId w:val="1010"/>
        </w:numPr>
      </w:pPr>
      <w:r>
        <w:t xml:space="preserve">Procurement reference.</w:t>
      </w:r>
    </w:p>
    <w:p>
      <w:pPr>
        <w:pStyle w:val="Compact"/>
        <w:numPr>
          <w:ilvl w:val="0"/>
          <w:numId w:val="1010"/>
        </w:numPr>
      </w:pPr>
      <w:r>
        <w:t xml:space="preserve">Supplier.</w:t>
      </w:r>
    </w:p>
    <w:p>
      <w:pPr>
        <w:pStyle w:val="Compact"/>
        <w:numPr>
          <w:ilvl w:val="0"/>
          <w:numId w:val="1010"/>
        </w:numPr>
      </w:pPr>
      <w:r>
        <w:t xml:space="preserve">Purchase date.</w:t>
      </w:r>
    </w:p>
    <w:p>
      <w:pPr>
        <w:pStyle w:val="Compact"/>
        <w:numPr>
          <w:ilvl w:val="0"/>
          <w:numId w:val="1010"/>
        </w:numPr>
      </w:pPr>
      <w:r>
        <w:t xml:space="preserve">Acquisition cost.</w:t>
      </w:r>
    </w:p>
    <w:p>
      <w:pPr>
        <w:pStyle w:val="Compact"/>
        <w:numPr>
          <w:ilvl w:val="0"/>
          <w:numId w:val="1010"/>
        </w:numPr>
      </w:pPr>
      <w:r>
        <w:t xml:space="preserve">Warranty information.</w:t>
      </w:r>
    </w:p>
    <w:p>
      <w:r>
        <w:pict>
          <v:rect style="width:0;height:1.5pt" o:hralign="center" o:hrstd="t" o:hr="t"/>
        </w:pict>
      </w:r>
    </w:p>
    <w:bookmarkEnd w:id="34"/>
    <w:bookmarkStart w:id="35" w:name="location"/>
    <w:p>
      <w:pPr>
        <w:pStyle w:val="Heading3"/>
      </w:pPr>
      <w:r>
        <w:t xml:space="preserve">Location</w:t>
      </w:r>
    </w:p>
    <w:p>
      <w:pPr>
        <w:pStyle w:val="Compact"/>
        <w:numPr>
          <w:ilvl w:val="0"/>
          <w:numId w:val="1011"/>
        </w:numPr>
      </w:pPr>
      <w:r>
        <w:t xml:space="preserve">Region.</w:t>
      </w:r>
    </w:p>
    <w:p>
      <w:pPr>
        <w:pStyle w:val="Compact"/>
        <w:numPr>
          <w:ilvl w:val="0"/>
          <w:numId w:val="1011"/>
        </w:numPr>
      </w:pPr>
      <w:r>
        <w:t xml:space="preserve">Division.</w:t>
      </w:r>
    </w:p>
    <w:p>
      <w:pPr>
        <w:pStyle w:val="Compact"/>
        <w:numPr>
          <w:ilvl w:val="0"/>
          <w:numId w:val="1011"/>
        </w:numPr>
      </w:pPr>
      <w:r>
        <w:t xml:space="preserve">School.</w:t>
      </w:r>
    </w:p>
    <w:p>
      <w:pPr>
        <w:pStyle w:val="Compact"/>
        <w:numPr>
          <w:ilvl w:val="0"/>
          <w:numId w:val="1011"/>
        </w:numPr>
      </w:pPr>
      <w:r>
        <w:t xml:space="preserve">Building.</w:t>
      </w:r>
    </w:p>
    <w:p>
      <w:pPr>
        <w:pStyle w:val="Compact"/>
        <w:numPr>
          <w:ilvl w:val="0"/>
          <w:numId w:val="1011"/>
        </w:numPr>
      </w:pPr>
      <w:r>
        <w:t xml:space="preserve">Room.</w:t>
      </w:r>
    </w:p>
    <w:p>
      <w:pPr>
        <w:pStyle w:val="Compact"/>
        <w:numPr>
          <w:ilvl w:val="0"/>
          <w:numId w:val="1011"/>
        </w:numPr>
      </w:pPr>
      <w:r>
        <w:t xml:space="preserve">Responsible officer.</w:t>
      </w:r>
    </w:p>
    <w:p>
      <w:r>
        <w:pict>
          <v:rect style="width:0;height:1.5pt" o:hralign="center" o:hrstd="t" o:hr="t"/>
        </w:pict>
      </w:r>
    </w:p>
    <w:bookmarkEnd w:id="35"/>
    <w:bookmarkStart w:id="36" w:name="operational-information"/>
    <w:p>
      <w:pPr>
        <w:pStyle w:val="Heading3"/>
      </w:pPr>
      <w:r>
        <w:t xml:space="preserve">Operational Information</w:t>
      </w:r>
    </w:p>
    <w:p>
      <w:pPr>
        <w:pStyle w:val="Compact"/>
        <w:numPr>
          <w:ilvl w:val="0"/>
          <w:numId w:val="1012"/>
        </w:numPr>
      </w:pPr>
      <w:r>
        <w:t xml:space="preserve">Current status.</w:t>
      </w:r>
    </w:p>
    <w:p>
      <w:pPr>
        <w:pStyle w:val="Compact"/>
        <w:numPr>
          <w:ilvl w:val="0"/>
          <w:numId w:val="1012"/>
        </w:numPr>
      </w:pPr>
      <w:r>
        <w:t xml:space="preserve">Condition.</w:t>
      </w:r>
    </w:p>
    <w:p>
      <w:pPr>
        <w:pStyle w:val="Compact"/>
        <w:numPr>
          <w:ilvl w:val="0"/>
          <w:numId w:val="1012"/>
        </w:numPr>
      </w:pPr>
      <w:r>
        <w:t xml:space="preserve">Utilization.</w:t>
      </w:r>
    </w:p>
    <w:p>
      <w:pPr>
        <w:pStyle w:val="Compact"/>
        <w:numPr>
          <w:ilvl w:val="0"/>
          <w:numId w:val="1012"/>
        </w:numPr>
      </w:pPr>
      <w:r>
        <w:t xml:space="preserve">Inspection history.</w:t>
      </w:r>
    </w:p>
    <w:p>
      <w:pPr>
        <w:pStyle w:val="Compact"/>
        <w:numPr>
          <w:ilvl w:val="0"/>
          <w:numId w:val="1012"/>
        </w:numPr>
      </w:pPr>
      <w:r>
        <w:t xml:space="preserve">Maintenance history.</w:t>
      </w:r>
    </w:p>
    <w:p>
      <w:pPr>
        <w:pStyle w:val="Compact"/>
        <w:numPr>
          <w:ilvl w:val="0"/>
          <w:numId w:val="1012"/>
        </w:numPr>
      </w:pPr>
      <w:r>
        <w:t xml:space="preserve">Transfer history.</w:t>
      </w:r>
    </w:p>
    <w:p>
      <w:r>
        <w:pict>
          <v:rect style="width:0;height:1.5pt" o:hralign="center" o:hrstd="t" o:hr="t"/>
        </w:pict>
      </w:r>
    </w:p>
    <w:bookmarkEnd w:id="36"/>
    <w:bookmarkStart w:id="37" w:name="end-of-life"/>
    <w:p>
      <w:pPr>
        <w:pStyle w:val="Heading3"/>
      </w:pPr>
      <w:r>
        <w:t xml:space="preserve">End-of-Life</w:t>
      </w:r>
    </w:p>
    <w:p>
      <w:pPr>
        <w:pStyle w:val="Compact"/>
        <w:numPr>
          <w:ilvl w:val="0"/>
          <w:numId w:val="1013"/>
        </w:numPr>
      </w:pPr>
      <w:r>
        <w:t xml:space="preserve">Replacement date.</w:t>
      </w:r>
    </w:p>
    <w:p>
      <w:pPr>
        <w:pStyle w:val="Compact"/>
        <w:numPr>
          <w:ilvl w:val="0"/>
          <w:numId w:val="1013"/>
        </w:numPr>
      </w:pPr>
      <w:r>
        <w:t xml:space="preserve">Disposal authorization.</w:t>
      </w:r>
    </w:p>
    <w:p>
      <w:pPr>
        <w:pStyle w:val="Compact"/>
        <w:numPr>
          <w:ilvl w:val="0"/>
          <w:numId w:val="1013"/>
        </w:numPr>
      </w:pPr>
      <w:r>
        <w:t xml:space="preserve">Disposal method.</w:t>
      </w:r>
    </w:p>
    <w:p>
      <w:pPr>
        <w:pStyle w:val="Compact"/>
        <w:numPr>
          <w:ilvl w:val="0"/>
          <w:numId w:val="1013"/>
        </w:numPr>
      </w:pPr>
      <w:r>
        <w:t xml:space="preserve">Archival reference.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sset-condition-assessment"/>
    <w:p>
      <w:pPr>
        <w:pStyle w:val="Heading1"/>
      </w:pPr>
      <w:r>
        <w:t xml:space="preserve">9.7 Asset Condition Assessment</w:t>
      </w:r>
    </w:p>
    <w:p>
      <w:pPr>
        <w:pStyle w:val="FirstParagraph"/>
      </w:pPr>
      <w:r>
        <w:t xml:space="preserve">Illustrative condition classifications include:</w:t>
      </w:r>
    </w:p>
    <w:p>
      <w:pPr>
        <w:pStyle w:val="Compact"/>
        <w:numPr>
          <w:ilvl w:val="0"/>
          <w:numId w:val="1014"/>
        </w:numPr>
      </w:pPr>
      <w:r>
        <w:t xml:space="preserve">New.</w:t>
      </w:r>
    </w:p>
    <w:p>
      <w:pPr>
        <w:pStyle w:val="Compact"/>
        <w:numPr>
          <w:ilvl w:val="0"/>
          <w:numId w:val="1014"/>
        </w:numPr>
      </w:pPr>
      <w:r>
        <w:t xml:space="preserve">Excellent.</w:t>
      </w:r>
    </w:p>
    <w:p>
      <w:pPr>
        <w:pStyle w:val="Compact"/>
        <w:numPr>
          <w:ilvl w:val="0"/>
          <w:numId w:val="1014"/>
        </w:numPr>
      </w:pPr>
      <w:r>
        <w:t xml:space="preserve">Good.</w:t>
      </w:r>
    </w:p>
    <w:p>
      <w:pPr>
        <w:pStyle w:val="Compact"/>
        <w:numPr>
          <w:ilvl w:val="0"/>
          <w:numId w:val="1014"/>
        </w:numPr>
      </w:pPr>
      <w:r>
        <w:t xml:space="preserve">Fair.</w:t>
      </w:r>
    </w:p>
    <w:p>
      <w:pPr>
        <w:pStyle w:val="Compact"/>
        <w:numPr>
          <w:ilvl w:val="0"/>
          <w:numId w:val="1014"/>
        </w:numPr>
      </w:pPr>
      <w:r>
        <w:t xml:space="preserve">Poor.</w:t>
      </w:r>
    </w:p>
    <w:p>
      <w:pPr>
        <w:pStyle w:val="Compact"/>
        <w:numPr>
          <w:ilvl w:val="0"/>
          <w:numId w:val="1014"/>
        </w:numPr>
      </w:pPr>
      <w:r>
        <w:t xml:space="preserve">Critical.</w:t>
      </w:r>
    </w:p>
    <w:p>
      <w:pPr>
        <w:pStyle w:val="Compact"/>
        <w:numPr>
          <w:ilvl w:val="0"/>
          <w:numId w:val="1014"/>
        </w:numPr>
      </w:pPr>
      <w:r>
        <w:t xml:space="preserve">Decommissioned.</w:t>
      </w:r>
    </w:p>
    <w:p>
      <w:pPr>
        <w:pStyle w:val="FirstParagraph"/>
      </w:pPr>
      <w:r>
        <w:t xml:space="preserve">These assessments support maintenance and replacement planning.</w:t>
      </w:r>
    </w:p>
    <w:p>
      <w:r>
        <w:pict>
          <v:rect style="width:0;height:1.5pt" o:hralign="center" o:hrstd="t" o:hr="t"/>
        </w:pict>
      </w:r>
    </w:p>
    <w:bookmarkEnd w:id="39"/>
    <w:bookmarkStart w:id="40" w:name="maintenance-management"/>
    <w:p>
      <w:pPr>
        <w:pStyle w:val="Heading1"/>
      </w:pPr>
      <w:r>
        <w:t xml:space="preserve">9.8 Maintenance Management</w:t>
      </w:r>
    </w:p>
    <w:p>
      <w:pPr>
        <w:pStyle w:val="FirstParagraph"/>
      </w:pPr>
      <w:r>
        <w:t xml:space="preserve">The framework supports:</w:t>
      </w:r>
    </w:p>
    <w:p>
      <w:pPr>
        <w:pStyle w:val="Compact"/>
        <w:numPr>
          <w:ilvl w:val="0"/>
          <w:numId w:val="1015"/>
        </w:numPr>
      </w:pPr>
      <w:r>
        <w:t xml:space="preserve">Preventive maintenance schedules.</w:t>
      </w:r>
    </w:p>
    <w:p>
      <w:pPr>
        <w:pStyle w:val="Compact"/>
        <w:numPr>
          <w:ilvl w:val="0"/>
          <w:numId w:val="1015"/>
        </w:numPr>
      </w:pPr>
      <w:r>
        <w:t xml:space="preserve">Corrective maintenance.</w:t>
      </w:r>
    </w:p>
    <w:p>
      <w:pPr>
        <w:pStyle w:val="Compact"/>
        <w:numPr>
          <w:ilvl w:val="0"/>
          <w:numId w:val="1015"/>
        </w:numPr>
      </w:pPr>
      <w:r>
        <w:t xml:space="preserve">Maintenance requests.</w:t>
      </w:r>
    </w:p>
    <w:p>
      <w:pPr>
        <w:pStyle w:val="Compact"/>
        <w:numPr>
          <w:ilvl w:val="0"/>
          <w:numId w:val="1015"/>
        </w:numPr>
      </w:pPr>
      <w:r>
        <w:t xml:space="preserve">Service history.</w:t>
      </w:r>
    </w:p>
    <w:p>
      <w:pPr>
        <w:pStyle w:val="Compact"/>
        <w:numPr>
          <w:ilvl w:val="0"/>
          <w:numId w:val="1015"/>
        </w:numPr>
      </w:pPr>
      <w:r>
        <w:t xml:space="preserve">Maintenance costs.</w:t>
      </w:r>
    </w:p>
    <w:p>
      <w:pPr>
        <w:pStyle w:val="Compact"/>
        <w:numPr>
          <w:ilvl w:val="0"/>
          <w:numId w:val="1015"/>
        </w:numPr>
      </w:pPr>
      <w:r>
        <w:t xml:space="preserve">Contractor records.</w:t>
      </w:r>
    </w:p>
    <w:p>
      <w:pPr>
        <w:pStyle w:val="Compact"/>
        <w:numPr>
          <w:ilvl w:val="0"/>
          <w:numId w:val="1015"/>
        </w:numPr>
      </w:pPr>
      <w:r>
        <w:t xml:space="preserve">Completion verification.</w:t>
      </w:r>
    </w:p>
    <w:p>
      <w:r>
        <w:pict>
          <v:rect style="width:0;height:1.5pt" o:hralign="center" o:hrstd="t" o:hr="t"/>
        </w:pict>
      </w:r>
    </w:p>
    <w:bookmarkEnd w:id="40"/>
    <w:bookmarkStart w:id="41" w:name="artificial-intelligence-opportunities"/>
    <w:p>
      <w:pPr>
        <w:pStyle w:val="Heading1"/>
      </w:pPr>
      <w:r>
        <w:t xml:space="preserve">9.9 Artificial Intelligence Opportunities</w:t>
      </w:r>
    </w:p>
    <w:p>
      <w:pPr>
        <w:pStyle w:val="FirstParagraph"/>
      </w:pPr>
      <w:r>
        <w:t xml:space="preserve">The AI Framework supports:</w:t>
      </w:r>
    </w:p>
    <w:p>
      <w:pPr>
        <w:pStyle w:val="Compact"/>
        <w:numPr>
          <w:ilvl w:val="0"/>
          <w:numId w:val="1016"/>
        </w:numPr>
      </w:pPr>
      <w:r>
        <w:t xml:space="preserve">Predictive maintenance recommendations.</w:t>
      </w:r>
    </w:p>
    <w:p>
      <w:pPr>
        <w:pStyle w:val="Compact"/>
        <w:numPr>
          <w:ilvl w:val="0"/>
          <w:numId w:val="1016"/>
        </w:numPr>
      </w:pPr>
      <w:r>
        <w:t xml:space="preserve">Asset replacement forecasting.</w:t>
      </w:r>
    </w:p>
    <w:p>
      <w:pPr>
        <w:pStyle w:val="Compact"/>
        <w:numPr>
          <w:ilvl w:val="0"/>
          <w:numId w:val="1016"/>
        </w:numPr>
      </w:pPr>
      <w:r>
        <w:t xml:space="preserve">Utilization analysis.</w:t>
      </w:r>
    </w:p>
    <w:p>
      <w:pPr>
        <w:pStyle w:val="Compact"/>
        <w:numPr>
          <w:ilvl w:val="0"/>
          <w:numId w:val="1016"/>
        </w:numPr>
      </w:pPr>
      <w:r>
        <w:t xml:space="preserve">Maintenance prioritization.</w:t>
      </w:r>
    </w:p>
    <w:p>
      <w:pPr>
        <w:pStyle w:val="Compact"/>
        <w:numPr>
          <w:ilvl w:val="0"/>
          <w:numId w:val="1016"/>
        </w:numPr>
      </w:pPr>
      <w:r>
        <w:t xml:space="preserve">Lifecycle cost analysis.</w:t>
      </w:r>
    </w:p>
    <w:p>
      <w:pPr>
        <w:pStyle w:val="Compact"/>
        <w:numPr>
          <w:ilvl w:val="0"/>
          <w:numId w:val="1016"/>
        </w:numPr>
      </w:pPr>
      <w:r>
        <w:t xml:space="preserve">Detection of unusual asset movement.</w:t>
      </w:r>
    </w:p>
    <w:p>
      <w:pPr>
        <w:pStyle w:val="Compact"/>
        <w:numPr>
          <w:ilvl w:val="0"/>
          <w:numId w:val="1016"/>
        </w:numPr>
      </w:pPr>
      <w:r>
        <w:t xml:space="preserve">National investment planning.</w:t>
      </w:r>
    </w:p>
    <w:p>
      <w:pPr>
        <w:pStyle w:val="FirstParagraph"/>
      </w:pPr>
      <w:r>
        <w:t xml:space="preserve">Recommendations remain subject to review and approval by authorized officials.</w:t>
      </w:r>
    </w:p>
    <w:p>
      <w:r>
        <w:pict>
          <v:rect style="width:0;height:1.5pt" o:hralign="center" o:hrstd="t" o:hr="t"/>
        </w:pict>
      </w:r>
    </w:p>
    <w:bookmarkEnd w:id="41"/>
    <w:bookmarkStart w:id="42" w:name="offline-operations"/>
    <w:p>
      <w:pPr>
        <w:pStyle w:val="Heading1"/>
      </w:pPr>
      <w:r>
        <w:t xml:space="preserve">9.10 Offline Operations</w:t>
      </w:r>
    </w:p>
    <w:p>
      <w:pPr>
        <w:pStyle w:val="FirstParagraph"/>
      </w:pPr>
      <w:r>
        <w:t xml:space="preserve">Schools and inspectors can:</w:t>
      </w:r>
    </w:p>
    <w:p>
      <w:pPr>
        <w:pStyle w:val="Compact"/>
        <w:numPr>
          <w:ilvl w:val="0"/>
          <w:numId w:val="1017"/>
        </w:numPr>
      </w:pPr>
      <w:r>
        <w:t xml:space="preserve">Register new assets.</w:t>
      </w:r>
    </w:p>
    <w:p>
      <w:pPr>
        <w:pStyle w:val="Compact"/>
        <w:numPr>
          <w:ilvl w:val="0"/>
          <w:numId w:val="1017"/>
        </w:numPr>
      </w:pPr>
      <w:r>
        <w:t xml:space="preserve">Scan asset passports.</w:t>
      </w:r>
    </w:p>
    <w:p>
      <w:pPr>
        <w:pStyle w:val="Compact"/>
        <w:numPr>
          <w:ilvl w:val="0"/>
          <w:numId w:val="1017"/>
        </w:numPr>
      </w:pPr>
      <w:r>
        <w:t xml:space="preserve">Update condition.</w:t>
      </w:r>
    </w:p>
    <w:p>
      <w:pPr>
        <w:pStyle w:val="Compact"/>
        <w:numPr>
          <w:ilvl w:val="0"/>
          <w:numId w:val="1017"/>
        </w:numPr>
      </w:pPr>
      <w:r>
        <w:t xml:space="preserve">Record maintenance.</w:t>
      </w:r>
    </w:p>
    <w:p>
      <w:pPr>
        <w:pStyle w:val="Compact"/>
        <w:numPr>
          <w:ilvl w:val="0"/>
          <w:numId w:val="1017"/>
        </w:numPr>
      </w:pPr>
      <w:r>
        <w:t xml:space="preserve">Report incidents.</w:t>
      </w:r>
    </w:p>
    <w:p>
      <w:pPr>
        <w:pStyle w:val="Compact"/>
        <w:numPr>
          <w:ilvl w:val="0"/>
          <w:numId w:val="1017"/>
        </w:numPr>
      </w:pPr>
      <w:r>
        <w:t xml:space="preserve">Capture inspection findings.</w:t>
      </w:r>
    </w:p>
    <w:p>
      <w:pPr>
        <w:pStyle w:val="FirstParagraph"/>
      </w:pPr>
      <w:r>
        <w:t xml:space="preserve">All activities synchronize securely when connectivity becomes available.</w:t>
      </w:r>
    </w:p>
    <w:p>
      <w:r>
        <w:pict>
          <v:rect style="width:0;height:1.5pt" o:hralign="center" o:hrstd="t" o:hr="t"/>
        </w:pict>
      </w:r>
    </w:p>
    <w:bookmarkEnd w:id="42"/>
    <w:bookmarkStart w:id="49" w:name="functional-requirements"/>
    <w:p>
      <w:pPr>
        <w:pStyle w:val="Heading1"/>
      </w:pPr>
      <w:r>
        <w:t xml:space="preserve">9.11 Functional Requirements</w:t>
      </w:r>
    </w:p>
    <w:bookmarkStart w:id="43" w:name="fr-asset-001"/>
    <w:p>
      <w:pPr>
        <w:pStyle w:val="Heading3"/>
      </w:pPr>
      <w:r>
        <w:t xml:space="preserve">FR-ASSET-001</w:t>
      </w:r>
    </w:p>
    <w:p>
      <w:pPr>
        <w:pStyle w:val="FirstParagraph"/>
      </w:pPr>
      <w:r>
        <w:t xml:space="preserve">Generate a unique digital passport for each registered asset.</w:t>
      </w:r>
    </w:p>
    <w:p>
      <w:r>
        <w:pict>
          <v:rect style="width:0;height:1.5pt" o:hralign="center" o:hrstd="t" o:hr="t"/>
        </w:pict>
      </w:r>
    </w:p>
    <w:bookmarkEnd w:id="43"/>
    <w:bookmarkStart w:id="44" w:name="fr-asset-002"/>
    <w:p>
      <w:pPr>
        <w:pStyle w:val="Heading3"/>
      </w:pPr>
      <w:r>
        <w:t xml:space="preserve">FR-ASSET-002</w:t>
      </w:r>
    </w:p>
    <w:p>
      <w:pPr>
        <w:pStyle w:val="FirstParagraph"/>
      </w:pPr>
      <w:r>
        <w:t xml:space="preserve">Maintain complete lifecycle records.</w:t>
      </w:r>
    </w:p>
    <w:p>
      <w:r>
        <w:pict>
          <v:rect style="width:0;height:1.5pt" o:hralign="center" o:hrstd="t" o:hr="t"/>
        </w:pict>
      </w:r>
    </w:p>
    <w:bookmarkEnd w:id="44"/>
    <w:bookmarkStart w:id="45" w:name="fr-asset-003"/>
    <w:p>
      <w:pPr>
        <w:pStyle w:val="Heading3"/>
      </w:pPr>
      <w:r>
        <w:t xml:space="preserve">FR-ASSET-003</w:t>
      </w:r>
    </w:p>
    <w:p>
      <w:pPr>
        <w:pStyle w:val="FirstParagraph"/>
      </w:pPr>
      <w:r>
        <w:t xml:space="preserve">Support QR code verification and inventory scanning.</w:t>
      </w:r>
    </w:p>
    <w:p>
      <w:r>
        <w:pict>
          <v:rect style="width:0;height:1.5pt" o:hralign="center" o:hrstd="t" o:hr="t"/>
        </w:pict>
      </w:r>
    </w:p>
    <w:bookmarkEnd w:id="45"/>
    <w:bookmarkStart w:id="46" w:name="fr-asset-004"/>
    <w:p>
      <w:pPr>
        <w:pStyle w:val="Heading3"/>
      </w:pPr>
      <w:r>
        <w:t xml:space="preserve">FR-ASSET-004</w:t>
      </w:r>
    </w:p>
    <w:p>
      <w:pPr>
        <w:pStyle w:val="FirstParagraph"/>
      </w:pPr>
      <w:r>
        <w:t xml:space="preserve">Record inspections, maintenance, transfers, and disposal activities.</w:t>
      </w:r>
    </w:p>
    <w:p>
      <w:r>
        <w:pict>
          <v:rect style="width:0;height:1.5pt" o:hralign="center" o:hrstd="t" o:hr="t"/>
        </w:pict>
      </w:r>
    </w:p>
    <w:bookmarkEnd w:id="46"/>
    <w:bookmarkStart w:id="47" w:name="fr-asset-005"/>
    <w:p>
      <w:pPr>
        <w:pStyle w:val="Heading3"/>
      </w:pPr>
      <w:r>
        <w:t xml:space="preserve">FR-ASSET-005</w:t>
      </w:r>
    </w:p>
    <w:p>
      <w:pPr>
        <w:pStyle w:val="FirstParagraph"/>
      </w:pPr>
      <w:r>
        <w:t xml:space="preserve">Provide asset analytics and reporting.</w:t>
      </w:r>
    </w:p>
    <w:p>
      <w:r>
        <w:pict>
          <v:rect style="width:0;height:1.5pt" o:hralign="center" o:hrstd="t" o:hr="t"/>
        </w:pict>
      </w:r>
    </w:p>
    <w:bookmarkEnd w:id="47"/>
    <w:bookmarkStart w:id="48" w:name="fr-asset-006"/>
    <w:p>
      <w:pPr>
        <w:pStyle w:val="Heading3"/>
      </w:pPr>
      <w:r>
        <w:t xml:space="preserve">FR-ASSET-006</w:t>
      </w:r>
    </w:p>
    <w:p>
      <w:pPr>
        <w:pStyle w:val="FirstParagraph"/>
      </w:pPr>
      <w:r>
        <w:t xml:space="preserve">Integrate asset management with procurement, warehousing, school operations, monitoring, finance (where applicable), and analytics modules.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key-performance-indicators"/>
    <w:p>
      <w:pPr>
        <w:pStyle w:val="Heading1"/>
      </w:pPr>
      <w:r>
        <w:t xml:space="preserve">9.12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8"/>
        </w:numPr>
      </w:pPr>
      <w:r>
        <w:t xml:space="preserve">Percentage of strategic assets registered.</w:t>
      </w:r>
    </w:p>
    <w:p>
      <w:pPr>
        <w:pStyle w:val="Compact"/>
        <w:numPr>
          <w:ilvl w:val="0"/>
          <w:numId w:val="1018"/>
        </w:numPr>
      </w:pPr>
      <w:r>
        <w:t xml:space="preserve">Inventory accuracy.</w:t>
      </w:r>
    </w:p>
    <w:p>
      <w:pPr>
        <w:pStyle w:val="Compact"/>
        <w:numPr>
          <w:ilvl w:val="0"/>
          <w:numId w:val="1018"/>
        </w:numPr>
      </w:pPr>
      <w:r>
        <w:t xml:space="preserve">Asset utilization rate.</w:t>
      </w:r>
    </w:p>
    <w:p>
      <w:pPr>
        <w:pStyle w:val="Compact"/>
        <w:numPr>
          <w:ilvl w:val="0"/>
          <w:numId w:val="1018"/>
        </w:numPr>
      </w:pPr>
      <w:r>
        <w:t xml:space="preserve">Preventive maintenance completion rate.</w:t>
      </w:r>
    </w:p>
    <w:p>
      <w:pPr>
        <w:pStyle w:val="Compact"/>
        <w:numPr>
          <w:ilvl w:val="0"/>
          <w:numId w:val="1018"/>
        </w:numPr>
      </w:pPr>
      <w:r>
        <w:t xml:space="preserve">Asset downtime.</w:t>
      </w:r>
    </w:p>
    <w:p>
      <w:pPr>
        <w:pStyle w:val="Compact"/>
        <w:numPr>
          <w:ilvl w:val="0"/>
          <w:numId w:val="1018"/>
        </w:numPr>
      </w:pPr>
      <w:r>
        <w:t xml:space="preserve">Replacement forecasting accuracy.</w:t>
      </w:r>
    </w:p>
    <w:p>
      <w:pPr>
        <w:pStyle w:val="Compact"/>
        <w:numPr>
          <w:ilvl w:val="0"/>
          <w:numId w:val="1018"/>
        </w:numPr>
      </w:pPr>
      <w:r>
        <w:t xml:space="preserve">Loss rate.</w:t>
      </w:r>
    </w:p>
    <w:p>
      <w:pPr>
        <w:pStyle w:val="Compact"/>
        <w:numPr>
          <w:ilvl w:val="0"/>
          <w:numId w:val="1018"/>
        </w:numPr>
      </w:pPr>
      <w:r>
        <w:t xml:space="preserve">Average asset lifespan.</w:t>
      </w:r>
    </w:p>
    <w:p>
      <w:r>
        <w:pict>
          <v:rect style="width:0;height:1.5pt" o:hralign="center" o:hrstd="t" o:hr="t"/>
        </w:pict>
      </w:r>
    </w:p>
    <w:bookmarkEnd w:id="50"/>
    <w:bookmarkStart w:id="51" w:name="expected-benefits"/>
    <w:p>
      <w:pPr>
        <w:pStyle w:val="Heading1"/>
      </w:pPr>
      <w:r>
        <w:t xml:space="preserve">9.13 Expected Benefits</w:t>
      </w:r>
    </w:p>
    <w:p>
      <w:pPr>
        <w:pStyle w:val="FirstParagraph"/>
      </w:pPr>
      <w:r>
        <w:t xml:space="preserve">The National Education Asset Passport Framework is expected to contribute to:</w:t>
      </w:r>
    </w:p>
    <w:p>
      <w:pPr>
        <w:pStyle w:val="Compact"/>
        <w:numPr>
          <w:ilvl w:val="0"/>
          <w:numId w:val="1019"/>
        </w:numPr>
      </w:pPr>
      <w:r>
        <w:t xml:space="preserve">Comprehensive visibility of education assets.</w:t>
      </w:r>
    </w:p>
    <w:p>
      <w:pPr>
        <w:pStyle w:val="Compact"/>
        <w:numPr>
          <w:ilvl w:val="0"/>
          <w:numId w:val="1019"/>
        </w:numPr>
      </w:pPr>
      <w:r>
        <w:t xml:space="preserve">Better maintenance planning.</w:t>
      </w:r>
    </w:p>
    <w:p>
      <w:pPr>
        <w:pStyle w:val="Compact"/>
        <w:numPr>
          <w:ilvl w:val="0"/>
          <w:numId w:val="1019"/>
        </w:numPr>
      </w:pPr>
      <w:r>
        <w:t xml:space="preserve">Reduced avoidable losses.</w:t>
      </w:r>
    </w:p>
    <w:p>
      <w:pPr>
        <w:pStyle w:val="Compact"/>
        <w:numPr>
          <w:ilvl w:val="0"/>
          <w:numId w:val="1019"/>
        </w:numPr>
      </w:pPr>
      <w:r>
        <w:t xml:space="preserve">Improved investment planning.</w:t>
      </w:r>
    </w:p>
    <w:p>
      <w:pPr>
        <w:pStyle w:val="Compact"/>
        <w:numPr>
          <w:ilvl w:val="0"/>
          <w:numId w:val="1019"/>
        </w:numPr>
      </w:pPr>
      <w:r>
        <w:t xml:space="preserve">Enhanced audit support.</w:t>
      </w:r>
    </w:p>
    <w:p>
      <w:pPr>
        <w:pStyle w:val="Compact"/>
        <w:numPr>
          <w:ilvl w:val="0"/>
          <w:numId w:val="1019"/>
        </w:numPr>
      </w:pPr>
      <w:r>
        <w:t xml:space="preserve">Stronger accountability.</w:t>
      </w:r>
    </w:p>
    <w:p>
      <w:pPr>
        <w:pStyle w:val="Compact"/>
        <w:numPr>
          <w:ilvl w:val="0"/>
          <w:numId w:val="1019"/>
        </w:numPr>
      </w:pPr>
      <w:r>
        <w:t xml:space="preserve">Improved lifecycle management.</w:t>
      </w:r>
    </w:p>
    <w:p>
      <w:pPr>
        <w:pStyle w:val="FirstParagraph"/>
      </w:pPr>
      <w:r>
        <w:t xml:space="preserve">These benefits depend on effective implementation, sustained governance, and user adoption.</w:t>
      </w:r>
    </w:p>
    <w:p>
      <w:r>
        <w:pict>
          <v:rect style="width:0;height:1.5pt" o:hralign="center" o:hrstd="t" o:hr="t"/>
        </w:pict>
      </w:r>
    </w:p>
    <w:bookmarkEnd w:id="51"/>
    <w:bookmarkStart w:id="52" w:name="chapter-summary"/>
    <w:p>
      <w:pPr>
        <w:pStyle w:val="Heading1"/>
      </w:pPr>
      <w:r>
        <w:t xml:space="preserve">9.14 Chapter Summary</w:t>
      </w:r>
    </w:p>
    <w:p>
      <w:pPr>
        <w:pStyle w:val="FirstParagraph"/>
      </w:pPr>
      <w:r>
        <w:t xml:space="preserve">The National Education Asset Passport Framework extends EduOS Cameroon beyond textbook management into comprehensive public asset governance.</w:t>
      </w:r>
    </w:p>
    <w:p>
      <w:pPr>
        <w:pStyle w:val="BodyText"/>
      </w:pPr>
      <w:r>
        <w:t xml:space="preserve">By assigning every significant educational asset a secure digital identity and maintaining a complete lifecycle history, the Ministry gains the information needed to protect public investments, improve operational efficiency, strengthen maintenance practices, and make better-informed investment decisions.</w:t>
      </w:r>
    </w:p>
    <w:p>
      <w:pPr>
        <w:pStyle w:val="BodyText"/>
      </w:pPr>
      <w:r>
        <w:t xml:space="preserve">The framework establishes the foundation for a modern, integrated asset management capability that can evolve alongside Cameroon’s broader education digital transformation agenda.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2026-07-10T14:18:29Z</dcterms:created>
  <dcterms:modified xsi:type="dcterms:W3CDTF">2026-07-10T14:18:29Z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