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6"/>
    <w:p>
      <w:pPr>
        <w:pStyle w:val="Heading1"/>
      </w:pPr>
      <w:r>
        <w:t xml:space="preserve">CHAPTER 16</w:t>
      </w:r>
    </w:p>
    <w:bookmarkEnd w:id="20"/>
    <w:bookmarkStart w:id="22" w:name="X8c7210909aafaa8806ed09240357124df716b5d"/>
    <w:p>
      <w:pPr>
        <w:pStyle w:val="Heading1"/>
      </w:pPr>
      <w:r>
        <w:t xml:space="preserve">NATIONAL EDUCATION DATA GOVERNANCE, PRIVACY AND CYBERSECURITY FRAMEWORK</w:t>
      </w:r>
    </w:p>
    <w:bookmarkStart w:id="21" w:name="introduction"/>
    <w:p>
      <w:pPr>
        <w:pStyle w:val="Heading2"/>
      </w:pPr>
      <w:r>
        <w:t xml:space="preserve">16.1 Introduction</w:t>
      </w:r>
    </w:p>
    <w:p>
      <w:pPr>
        <w:pStyle w:val="FirstParagraph"/>
      </w:pPr>
      <w:r>
        <w:t xml:space="preserve">The successful digital transformation of Cameroon’s education sector depends not only on technology but also on trust.</w:t>
      </w:r>
    </w:p>
    <w:p>
      <w:pPr>
        <w:pStyle w:val="BodyText"/>
      </w:pPr>
      <w:r>
        <w:t xml:space="preserve">Learners, teachers, schools, ministry officials, development partners, and the public must have confidence that education information is collected responsibly, managed securely, and used only for legitimate educational and administrative purposes.</w:t>
      </w:r>
    </w:p>
    <w:p>
      <w:pPr>
        <w:pStyle w:val="BodyText"/>
      </w:pPr>
      <w:r>
        <w:t xml:space="preserve">As EduOS Cameroon evolves into a National Education Digital Public Infrastructure, it will manage significant volumes of operational information relating to schools, educational resources, logistics, inspections, assets, planning, and authorized users.</w:t>
      </w:r>
    </w:p>
    <w:p>
      <w:pPr>
        <w:pStyle w:val="BodyText"/>
      </w:pPr>
      <w:r>
        <w:t xml:space="preserve">The National Education Data Governance, Privacy and Cybersecurity Framework establishes the policies, principles, and technical controls necessary to ensure that education information remains accurate, available, confidential where appropriate, and protected throughout its lifecycle.</w:t>
      </w:r>
    </w:p>
    <w:p>
      <w:r>
        <w:pict>
          <v:rect style="width:0;height:1.5pt" o:hralign="center" o:hrstd="t" o:hr="t"/>
        </w:pict>
      </w:r>
    </w:p>
    <w:bookmarkEnd w:id="21"/>
    <w:bookmarkEnd w:id="22"/>
    <w:bookmarkStart w:id="23" w:name="vision"/>
    <w:p>
      <w:pPr>
        <w:pStyle w:val="Heading1"/>
      </w:pPr>
      <w:r>
        <w:t xml:space="preserve">16.2 Vision</w:t>
      </w:r>
    </w:p>
    <w:p>
      <w:pPr>
        <w:pStyle w:val="FirstParagraph"/>
      </w:pPr>
      <w:r>
        <w:t xml:space="preserve">To establish a trusted national education information ecosystem that enables secure collaboration, responsible data management, and resilient digital public services while safeguarding education information.</w:t>
      </w:r>
    </w:p>
    <w:p>
      <w:r>
        <w:pict>
          <v:rect style="width:0;height:1.5pt" o:hralign="center" o:hrstd="t" o:hr="t"/>
        </w:pict>
      </w:r>
    </w:p>
    <w:bookmarkEnd w:id="23"/>
    <w:bookmarkStart w:id="24" w:name="strategic-objectives"/>
    <w:p>
      <w:pPr>
        <w:pStyle w:val="Heading1"/>
      </w:pPr>
      <w:r>
        <w:t xml:space="preserve">16.3 Strategic Objectives</w:t>
      </w:r>
    </w:p>
    <w:p>
      <w:pPr>
        <w:pStyle w:val="FirstParagraph"/>
      </w:pPr>
      <w:r>
        <w:t xml:space="preserve">The framework seeks to:</w:t>
      </w:r>
    </w:p>
    <w:p>
      <w:pPr>
        <w:pStyle w:val="Compact"/>
        <w:numPr>
          <w:ilvl w:val="0"/>
          <w:numId w:val="1001"/>
        </w:numPr>
      </w:pPr>
      <w:r>
        <w:t xml:space="preserve">Strengthen information governance.</w:t>
      </w:r>
    </w:p>
    <w:p>
      <w:pPr>
        <w:pStyle w:val="Compact"/>
        <w:numPr>
          <w:ilvl w:val="0"/>
          <w:numId w:val="1001"/>
        </w:numPr>
      </w:pPr>
      <w:r>
        <w:t xml:space="preserve">Protect education information.</w:t>
      </w:r>
    </w:p>
    <w:p>
      <w:pPr>
        <w:pStyle w:val="Compact"/>
        <w:numPr>
          <w:ilvl w:val="0"/>
          <w:numId w:val="1001"/>
        </w:numPr>
      </w:pPr>
      <w:r>
        <w:t xml:space="preserve">Improve data quality.</w:t>
      </w:r>
    </w:p>
    <w:p>
      <w:pPr>
        <w:pStyle w:val="Compact"/>
        <w:numPr>
          <w:ilvl w:val="0"/>
          <w:numId w:val="1001"/>
        </w:numPr>
      </w:pPr>
      <w:r>
        <w:t xml:space="preserve">Support responsible information sharing.</w:t>
      </w:r>
    </w:p>
    <w:p>
      <w:pPr>
        <w:pStyle w:val="Compact"/>
        <w:numPr>
          <w:ilvl w:val="0"/>
          <w:numId w:val="1001"/>
        </w:numPr>
      </w:pPr>
      <w:r>
        <w:t xml:space="preserve">Reduce cybersecurity risks.</w:t>
      </w:r>
    </w:p>
    <w:p>
      <w:pPr>
        <w:pStyle w:val="Compact"/>
        <w:numPr>
          <w:ilvl w:val="0"/>
          <w:numId w:val="1001"/>
        </w:numPr>
      </w:pPr>
      <w:r>
        <w:t xml:space="preserve">Strengthen institutional accountability.</w:t>
      </w:r>
    </w:p>
    <w:p>
      <w:pPr>
        <w:pStyle w:val="Compact"/>
        <w:numPr>
          <w:ilvl w:val="0"/>
          <w:numId w:val="1001"/>
        </w:numPr>
      </w:pPr>
      <w:r>
        <w:t xml:space="preserve">Improve operational resilience.</w:t>
      </w:r>
    </w:p>
    <w:p>
      <w:pPr>
        <w:pStyle w:val="Compact"/>
        <w:numPr>
          <w:ilvl w:val="0"/>
          <w:numId w:val="1001"/>
        </w:numPr>
      </w:pPr>
      <w:r>
        <w:t xml:space="preserve">Build stakeholder confidence.</w:t>
      </w:r>
    </w:p>
    <w:p>
      <w:r>
        <w:pict>
          <v:rect style="width:0;height:1.5pt" o:hralign="center" o:hrstd="t" o:hr="t"/>
        </w:pict>
      </w:r>
    </w:p>
    <w:bookmarkEnd w:id="24"/>
    <w:bookmarkStart w:id="31" w:name="data-governance-principles"/>
    <w:p>
      <w:pPr>
        <w:pStyle w:val="Heading1"/>
      </w:pPr>
      <w:r>
        <w:t xml:space="preserve">16.4 Data Governance Principles</w:t>
      </w:r>
    </w:p>
    <w:p>
      <w:pPr>
        <w:pStyle w:val="FirstParagraph"/>
      </w:pPr>
      <w:r>
        <w:t xml:space="preserve">The framework is guided by the following principles.</w:t>
      </w:r>
    </w:p>
    <w:bookmarkStart w:id="25" w:name="accountability"/>
    <w:p>
      <w:pPr>
        <w:pStyle w:val="Heading3"/>
      </w:pPr>
      <w:r>
        <w:t xml:space="preserve">Accountability</w:t>
      </w:r>
    </w:p>
    <w:p>
      <w:pPr>
        <w:pStyle w:val="FirstParagraph"/>
      </w:pPr>
      <w:r>
        <w:t xml:space="preserve">Every dataset has an identified institutional owner responsible for its quality, maintenance, and authorized use.</w:t>
      </w:r>
    </w:p>
    <w:p>
      <w:r>
        <w:pict>
          <v:rect style="width:0;height:1.5pt" o:hralign="center" o:hrstd="t" o:hr="t"/>
        </w:pict>
      </w:r>
    </w:p>
    <w:bookmarkEnd w:id="25"/>
    <w:bookmarkStart w:id="26" w:name="accuracy"/>
    <w:p>
      <w:pPr>
        <w:pStyle w:val="Heading3"/>
      </w:pPr>
      <w:r>
        <w:t xml:space="preserve">Accuracy</w:t>
      </w:r>
    </w:p>
    <w:p>
      <w:pPr>
        <w:pStyle w:val="FirstParagraph"/>
      </w:pPr>
      <w:r>
        <w:t xml:space="preserve">Information should be complete, consistent, and regularly validated.</w:t>
      </w:r>
    </w:p>
    <w:p>
      <w:r>
        <w:pict>
          <v:rect style="width:0;height:1.5pt" o:hralign="center" o:hrstd="t" o:hr="t"/>
        </w:pict>
      </w:r>
    </w:p>
    <w:bookmarkEnd w:id="26"/>
    <w:bookmarkStart w:id="27" w:name="availability"/>
    <w:p>
      <w:pPr>
        <w:pStyle w:val="Heading3"/>
      </w:pPr>
      <w:r>
        <w:t xml:space="preserve">Availability</w:t>
      </w:r>
    </w:p>
    <w:p>
      <w:pPr>
        <w:pStyle w:val="FirstParagraph"/>
      </w:pPr>
      <w:r>
        <w:t xml:space="preserve">Authorized users should have timely access to the information required to perform their responsibilities.</w:t>
      </w:r>
    </w:p>
    <w:p>
      <w:r>
        <w:pict>
          <v:rect style="width:0;height:1.5pt" o:hralign="center" o:hrstd="t" o:hr="t"/>
        </w:pict>
      </w:r>
    </w:p>
    <w:bookmarkEnd w:id="27"/>
    <w:bookmarkStart w:id="28" w:name="confidentiality"/>
    <w:p>
      <w:pPr>
        <w:pStyle w:val="Heading3"/>
      </w:pPr>
      <w:r>
        <w:t xml:space="preserve">Confidentiality</w:t>
      </w:r>
    </w:p>
    <w:p>
      <w:pPr>
        <w:pStyle w:val="FirstParagraph"/>
      </w:pPr>
      <w:r>
        <w:t xml:space="preserve">Access to information is controlled according to institutional responsibilities and the principle of least privilege.</w:t>
      </w:r>
    </w:p>
    <w:p>
      <w:r>
        <w:pict>
          <v:rect style="width:0;height:1.5pt" o:hralign="center" o:hrstd="t" o:hr="t"/>
        </w:pict>
      </w:r>
    </w:p>
    <w:bookmarkEnd w:id="28"/>
    <w:bookmarkStart w:id="29" w:name="integrity"/>
    <w:p>
      <w:pPr>
        <w:pStyle w:val="Heading3"/>
      </w:pPr>
      <w:r>
        <w:t xml:space="preserve">Integrity</w:t>
      </w:r>
    </w:p>
    <w:p>
      <w:pPr>
        <w:pStyle w:val="FirstParagraph"/>
      </w:pPr>
      <w:r>
        <w:t xml:space="preserve">Information is protected against unauthorized alteration through technical and administrative controls.</w:t>
      </w:r>
    </w:p>
    <w:p>
      <w:r>
        <w:pict>
          <v:rect style="width:0;height:1.5pt" o:hralign="center" o:hrstd="t" o:hr="t"/>
        </w:pict>
      </w:r>
    </w:p>
    <w:bookmarkEnd w:id="29"/>
    <w:bookmarkStart w:id="30" w:name="transparency"/>
    <w:p>
      <w:pPr>
        <w:pStyle w:val="Heading3"/>
      </w:pPr>
      <w:r>
        <w:t xml:space="preserve">Transparency</w:t>
      </w:r>
    </w:p>
    <w:p>
      <w:pPr>
        <w:pStyle w:val="FirstParagraph"/>
      </w:pPr>
      <w:r>
        <w:t xml:space="preserve">Information governance policies, responsibilities, and operational procedures are clearly documented.</w:t>
      </w:r>
    </w:p>
    <w:p>
      <w:r>
        <w:pict>
          <v:rect style="width:0;height:1.5pt" o:hralign="center" o:hrstd="t" o:hr="t"/>
        </w:pict>
      </w:r>
    </w:p>
    <w:bookmarkEnd w:id="30"/>
    <w:bookmarkEnd w:id="31"/>
    <w:bookmarkStart w:id="36" w:name="data-classification"/>
    <w:p>
      <w:pPr>
        <w:pStyle w:val="Heading1"/>
      </w:pPr>
      <w:r>
        <w:t xml:space="preserve">16.5 Data Classification</w:t>
      </w:r>
    </w:p>
    <w:p>
      <w:pPr>
        <w:pStyle w:val="FirstParagraph"/>
      </w:pPr>
      <w:r>
        <w:t xml:space="preserve">Education information is classified according to sensitivity.</w:t>
      </w:r>
    </w:p>
    <w:p>
      <w:pPr>
        <w:pStyle w:val="BodyText"/>
      </w:pPr>
      <w:r>
        <w:t xml:space="preserve">Illustrative categories include:</w:t>
      </w:r>
    </w:p>
    <w:bookmarkStart w:id="32" w:name="public-information"/>
    <w:p>
      <w:pPr>
        <w:pStyle w:val="Heading3"/>
      </w:pPr>
      <w:r>
        <w:t xml:space="preserve">Public Information</w:t>
      </w:r>
    </w:p>
    <w:p>
      <w:pPr>
        <w:pStyle w:val="FirstParagraph"/>
      </w:pPr>
      <w:r>
        <w:t xml:space="preserve">Information intended for public access.</w:t>
      </w:r>
    </w:p>
    <w:p>
      <w:pPr>
        <w:pStyle w:val="BodyText"/>
      </w:pPr>
      <w:r>
        <w:t xml:space="preserve">Examples:</w:t>
      </w:r>
    </w:p>
    <w:p>
      <w:pPr>
        <w:pStyle w:val="Compact"/>
        <w:numPr>
          <w:ilvl w:val="0"/>
          <w:numId w:val="1002"/>
        </w:numPr>
      </w:pPr>
      <w:r>
        <w:t xml:space="preserve">Published reports.</w:t>
      </w:r>
    </w:p>
    <w:p>
      <w:pPr>
        <w:pStyle w:val="Compact"/>
        <w:numPr>
          <w:ilvl w:val="0"/>
          <w:numId w:val="1002"/>
        </w:numPr>
      </w:pPr>
      <w:r>
        <w:t xml:space="preserve">Approved statistics.</w:t>
      </w:r>
    </w:p>
    <w:p>
      <w:pPr>
        <w:pStyle w:val="Compact"/>
        <w:numPr>
          <w:ilvl w:val="0"/>
          <w:numId w:val="1002"/>
        </w:numPr>
      </w:pPr>
      <w:r>
        <w:t xml:space="preserve">Public school directories.</w:t>
      </w:r>
    </w:p>
    <w:p>
      <w:r>
        <w:pict>
          <v:rect style="width:0;height:1.5pt" o:hralign="center" o:hrstd="t" o:hr="t"/>
        </w:pict>
      </w:r>
    </w:p>
    <w:bookmarkEnd w:id="32"/>
    <w:bookmarkStart w:id="33" w:name="internal-information"/>
    <w:p>
      <w:pPr>
        <w:pStyle w:val="Heading3"/>
      </w:pPr>
      <w:r>
        <w:t xml:space="preserve">Internal Information</w:t>
      </w:r>
    </w:p>
    <w:p>
      <w:pPr>
        <w:pStyle w:val="FirstParagraph"/>
      </w:pPr>
      <w:r>
        <w:t xml:space="preserve">Operational information intended for authorized education personnel.</w:t>
      </w:r>
    </w:p>
    <w:p>
      <w:pPr>
        <w:pStyle w:val="BodyText"/>
      </w:pPr>
      <w:r>
        <w:t xml:space="preserve">Examples:</w:t>
      </w:r>
    </w:p>
    <w:p>
      <w:pPr>
        <w:pStyle w:val="Compact"/>
        <w:numPr>
          <w:ilvl w:val="0"/>
          <w:numId w:val="1003"/>
        </w:numPr>
      </w:pPr>
      <w:r>
        <w:t xml:space="preserve">Operational planning.</w:t>
      </w:r>
    </w:p>
    <w:p>
      <w:pPr>
        <w:pStyle w:val="Compact"/>
        <w:numPr>
          <w:ilvl w:val="0"/>
          <w:numId w:val="1003"/>
        </w:numPr>
      </w:pPr>
      <w:r>
        <w:t xml:space="preserve">Inventory summaries.</w:t>
      </w:r>
    </w:p>
    <w:p>
      <w:pPr>
        <w:pStyle w:val="Compact"/>
        <w:numPr>
          <w:ilvl w:val="0"/>
          <w:numId w:val="1003"/>
        </w:numPr>
      </w:pPr>
      <w:r>
        <w:t xml:space="preserve">Distribution schedules.</w:t>
      </w:r>
    </w:p>
    <w:p>
      <w:r>
        <w:pict>
          <v:rect style="width:0;height:1.5pt" o:hralign="center" o:hrstd="t" o:hr="t"/>
        </w:pict>
      </w:r>
    </w:p>
    <w:bookmarkEnd w:id="33"/>
    <w:bookmarkStart w:id="34" w:name="restricted-information"/>
    <w:p>
      <w:pPr>
        <w:pStyle w:val="Heading3"/>
      </w:pPr>
      <w:r>
        <w:t xml:space="preserve">Restricted Information</w:t>
      </w:r>
    </w:p>
    <w:p>
      <w:pPr>
        <w:pStyle w:val="FirstParagraph"/>
      </w:pPr>
      <w:r>
        <w:t xml:space="preserve">Information requiring additional protection because of operational or administrative sensitivity.</w:t>
      </w:r>
    </w:p>
    <w:p>
      <w:pPr>
        <w:pStyle w:val="BodyText"/>
      </w:pPr>
      <w:r>
        <w:t xml:space="preserve">Examples:</w:t>
      </w:r>
    </w:p>
    <w:p>
      <w:pPr>
        <w:pStyle w:val="Compact"/>
        <w:numPr>
          <w:ilvl w:val="0"/>
          <w:numId w:val="1004"/>
        </w:numPr>
      </w:pPr>
      <w:r>
        <w:t xml:space="preserve">Internal audit findings.</w:t>
      </w:r>
    </w:p>
    <w:p>
      <w:pPr>
        <w:pStyle w:val="Compact"/>
        <w:numPr>
          <w:ilvl w:val="0"/>
          <w:numId w:val="1004"/>
        </w:numPr>
      </w:pPr>
      <w:r>
        <w:t xml:space="preserve">Procurement evaluations.</w:t>
      </w:r>
    </w:p>
    <w:p>
      <w:pPr>
        <w:pStyle w:val="Compact"/>
        <w:numPr>
          <w:ilvl w:val="0"/>
          <w:numId w:val="1004"/>
        </w:numPr>
      </w:pPr>
      <w:r>
        <w:t xml:space="preserve">Operational investigations.</w:t>
      </w:r>
    </w:p>
    <w:p>
      <w:r>
        <w:pict>
          <v:rect style="width:0;height:1.5pt" o:hralign="center" o:hrstd="t" o:hr="t"/>
        </w:pict>
      </w:r>
    </w:p>
    <w:bookmarkEnd w:id="34"/>
    <w:bookmarkStart w:id="35" w:name="confidential-information"/>
    <w:p>
      <w:pPr>
        <w:pStyle w:val="Heading3"/>
      </w:pPr>
      <w:r>
        <w:t xml:space="preserve">Confidential Information</w:t>
      </w:r>
    </w:p>
    <w:p>
      <w:pPr>
        <w:pStyle w:val="FirstParagraph"/>
      </w:pPr>
      <w:r>
        <w:t xml:space="preserve">Information requiring the highest level of protection under applicable laws, regulations, and government policies.</w:t>
      </w:r>
    </w:p>
    <w:p>
      <w:pPr>
        <w:pStyle w:val="BodyText"/>
      </w:pPr>
      <w:r>
        <w:t xml:space="preserve">Examples may include personally identifiable information and certain personnel or administrative records.</w:t>
      </w:r>
    </w:p>
    <w:p>
      <w:r>
        <w:pict>
          <v:rect style="width:0;height:1.5pt" o:hralign="center" o:hrstd="t" o:hr="t"/>
        </w:pict>
      </w:r>
    </w:p>
    <w:bookmarkEnd w:id="35"/>
    <w:bookmarkEnd w:id="36"/>
    <w:bookmarkStart w:id="37" w:name="privacy-framework"/>
    <w:p>
      <w:pPr>
        <w:pStyle w:val="Heading1"/>
      </w:pPr>
      <w:r>
        <w:t xml:space="preserve">16.6 Privacy Framework</w:t>
      </w:r>
    </w:p>
    <w:p>
      <w:pPr>
        <w:pStyle w:val="FirstParagraph"/>
      </w:pPr>
      <w:r>
        <w:t xml:space="preserve">EduOS Cameroon supports responsible handling of personal information through:</w:t>
      </w:r>
    </w:p>
    <w:p>
      <w:pPr>
        <w:pStyle w:val="Compact"/>
        <w:numPr>
          <w:ilvl w:val="0"/>
          <w:numId w:val="1005"/>
        </w:numPr>
      </w:pPr>
      <w:r>
        <w:t xml:space="preserve">Purpose limitation.</w:t>
      </w:r>
    </w:p>
    <w:p>
      <w:pPr>
        <w:pStyle w:val="Compact"/>
        <w:numPr>
          <w:ilvl w:val="0"/>
          <w:numId w:val="1005"/>
        </w:numPr>
      </w:pPr>
      <w:r>
        <w:t xml:space="preserve">Data minimization.</w:t>
      </w:r>
    </w:p>
    <w:p>
      <w:pPr>
        <w:pStyle w:val="Compact"/>
        <w:numPr>
          <w:ilvl w:val="0"/>
          <w:numId w:val="1005"/>
        </w:numPr>
      </w:pPr>
      <w:r>
        <w:t xml:space="preserve">Role-based access.</w:t>
      </w:r>
    </w:p>
    <w:p>
      <w:pPr>
        <w:pStyle w:val="Compact"/>
        <w:numPr>
          <w:ilvl w:val="0"/>
          <w:numId w:val="1005"/>
        </w:numPr>
      </w:pPr>
      <w:r>
        <w:t xml:space="preserve">Secure storage.</w:t>
      </w:r>
    </w:p>
    <w:p>
      <w:pPr>
        <w:pStyle w:val="Compact"/>
        <w:numPr>
          <w:ilvl w:val="0"/>
          <w:numId w:val="1005"/>
        </w:numPr>
      </w:pPr>
      <w:r>
        <w:t xml:space="preserve">Controlled sharing.</w:t>
      </w:r>
    </w:p>
    <w:p>
      <w:pPr>
        <w:pStyle w:val="Compact"/>
        <w:numPr>
          <w:ilvl w:val="0"/>
          <w:numId w:val="1005"/>
        </w:numPr>
      </w:pPr>
      <w:r>
        <w:t xml:space="preserve">Audit logging.</w:t>
      </w:r>
    </w:p>
    <w:p>
      <w:pPr>
        <w:pStyle w:val="Compact"/>
        <w:numPr>
          <w:ilvl w:val="0"/>
          <w:numId w:val="1005"/>
        </w:numPr>
      </w:pPr>
      <w:r>
        <w:t xml:space="preserve">Defined retention periods.</w:t>
      </w:r>
    </w:p>
    <w:p>
      <w:pPr>
        <w:pStyle w:val="Compact"/>
        <w:numPr>
          <w:ilvl w:val="0"/>
          <w:numId w:val="1005"/>
        </w:numPr>
      </w:pPr>
      <w:r>
        <w:t xml:space="preserve">Secure archival and disposal procedures.</w:t>
      </w:r>
    </w:p>
    <w:p>
      <w:pPr>
        <w:pStyle w:val="FirstParagraph"/>
      </w:pPr>
      <w:r>
        <w:t xml:space="preserve">The implementation of privacy controls will align with applicable Cameroonian laws and regulations governing personal data, together with institutional policies.</w:t>
      </w:r>
    </w:p>
    <w:p>
      <w:r>
        <w:pict>
          <v:rect style="width:0;height:1.5pt" o:hralign="center" o:hrstd="t" o:hr="t"/>
        </w:pict>
      </w:r>
    </w:p>
    <w:bookmarkEnd w:id="37"/>
    <w:bookmarkStart w:id="38" w:name="cybersecurity-architecture"/>
    <w:p>
      <w:pPr>
        <w:pStyle w:val="Heading1"/>
      </w:pPr>
      <w:r>
        <w:t xml:space="preserve">16.7 Cybersecurity Architecture</w:t>
      </w:r>
    </w:p>
    <w:p>
      <w:pPr>
        <w:pStyle w:val="FirstParagraph"/>
      </w:pPr>
      <w:r>
        <w:t xml:space="preserve">The cybersecurity framework includes multiple protective layers.</w:t>
      </w:r>
    </w:p>
    <w:p>
      <w:pPr>
        <w:pStyle w:val="BodyText"/>
      </w:pPr>
      <w:r>
        <w:rPr>
          <w:rStyle w:val="VerbatimChar"/>
        </w:rPr>
        <w:t xml:space="preserve">text id="security001" User Authentication          │          ▼ Identity Management          │          ▼ Role-Based Access Control          │          ▼ Encryption          │          ▼ API Security          │          ▼ Network Protection          │          ▼ Monitoring &amp; Logging          │          ▼ Security Operations</w:t>
      </w:r>
    </w:p>
    <w:p>
      <w:pPr>
        <w:pStyle w:val="BodyText"/>
      </w:pPr>
      <w:r>
        <w:t xml:space="preserve">Each layer contributes to a defense-in-depth strategy.</w:t>
      </w:r>
    </w:p>
    <w:p>
      <w:r>
        <w:pict>
          <v:rect style="width:0;height:1.5pt" o:hralign="center" o:hrstd="t" o:hr="t"/>
        </w:pict>
      </w:r>
    </w:p>
    <w:bookmarkEnd w:id="38"/>
    <w:bookmarkStart w:id="39" w:name="identity-and-access-management"/>
    <w:p>
      <w:pPr>
        <w:pStyle w:val="Heading1"/>
      </w:pPr>
      <w:r>
        <w:t xml:space="preserve">16.8 Identity and Access Management</w:t>
      </w:r>
    </w:p>
    <w:p>
      <w:pPr>
        <w:pStyle w:val="FirstParagraph"/>
      </w:pPr>
      <w:r>
        <w:t xml:space="preserve">The platform supports secure access through capabilities such as:</w:t>
      </w:r>
    </w:p>
    <w:p>
      <w:pPr>
        <w:pStyle w:val="Compact"/>
        <w:numPr>
          <w:ilvl w:val="0"/>
          <w:numId w:val="1006"/>
        </w:numPr>
      </w:pPr>
      <w:r>
        <w:t xml:space="preserve">Strong authentication.</w:t>
      </w:r>
    </w:p>
    <w:p>
      <w:pPr>
        <w:pStyle w:val="Compact"/>
        <w:numPr>
          <w:ilvl w:val="0"/>
          <w:numId w:val="1006"/>
        </w:numPr>
      </w:pPr>
      <w:r>
        <w:t xml:space="preserve">Multi-factor authentication for privileged users where implemented.</w:t>
      </w:r>
    </w:p>
    <w:p>
      <w:pPr>
        <w:pStyle w:val="Compact"/>
        <w:numPr>
          <w:ilvl w:val="0"/>
          <w:numId w:val="1006"/>
        </w:numPr>
      </w:pPr>
      <w:r>
        <w:t xml:space="preserve">Role-based permissions.</w:t>
      </w:r>
    </w:p>
    <w:p>
      <w:pPr>
        <w:pStyle w:val="Compact"/>
        <w:numPr>
          <w:ilvl w:val="0"/>
          <w:numId w:val="1006"/>
        </w:numPr>
      </w:pPr>
      <w:r>
        <w:t xml:space="preserve">Session management.</w:t>
      </w:r>
    </w:p>
    <w:p>
      <w:pPr>
        <w:pStyle w:val="Compact"/>
        <w:numPr>
          <w:ilvl w:val="0"/>
          <w:numId w:val="1006"/>
        </w:numPr>
      </w:pPr>
      <w:r>
        <w:t xml:space="preserve">Password policies.</w:t>
      </w:r>
    </w:p>
    <w:p>
      <w:pPr>
        <w:pStyle w:val="Compact"/>
        <w:numPr>
          <w:ilvl w:val="0"/>
          <w:numId w:val="1006"/>
        </w:numPr>
      </w:pPr>
      <w:r>
        <w:t xml:space="preserve">Account lifecycle management.</w:t>
      </w:r>
    </w:p>
    <w:p>
      <w:pPr>
        <w:pStyle w:val="FirstParagraph"/>
      </w:pPr>
      <w:r>
        <w:t xml:space="preserve">Administrative privileges are granted only to authorized personnel.</w:t>
      </w:r>
    </w:p>
    <w:p>
      <w:r>
        <w:pict>
          <v:rect style="width:0;height:1.5pt" o:hralign="center" o:hrstd="t" o:hr="t"/>
        </w:pict>
      </w:r>
    </w:p>
    <w:bookmarkEnd w:id="39"/>
    <w:bookmarkStart w:id="40" w:name="audit-and-accountability"/>
    <w:p>
      <w:pPr>
        <w:pStyle w:val="Heading1"/>
      </w:pPr>
      <w:r>
        <w:t xml:space="preserve">16.9 Audit and Accountability</w:t>
      </w:r>
    </w:p>
    <w:p>
      <w:pPr>
        <w:pStyle w:val="FirstParagraph"/>
      </w:pPr>
      <w:r>
        <w:t xml:space="preserve">Every significant system activity is recorded.</w:t>
      </w:r>
    </w:p>
    <w:p>
      <w:pPr>
        <w:pStyle w:val="BodyText"/>
      </w:pPr>
      <w:r>
        <w:t xml:space="preserve">Illustrative audit events include:</w:t>
      </w:r>
    </w:p>
    <w:p>
      <w:pPr>
        <w:pStyle w:val="Compact"/>
        <w:numPr>
          <w:ilvl w:val="0"/>
          <w:numId w:val="1007"/>
        </w:numPr>
      </w:pPr>
      <w:r>
        <w:t xml:space="preserve">User logins.</w:t>
      </w:r>
    </w:p>
    <w:p>
      <w:pPr>
        <w:pStyle w:val="Compact"/>
        <w:numPr>
          <w:ilvl w:val="0"/>
          <w:numId w:val="1007"/>
        </w:numPr>
      </w:pPr>
      <w:r>
        <w:t xml:space="preserve">Data creation.</w:t>
      </w:r>
    </w:p>
    <w:p>
      <w:pPr>
        <w:pStyle w:val="Compact"/>
        <w:numPr>
          <w:ilvl w:val="0"/>
          <w:numId w:val="1007"/>
        </w:numPr>
      </w:pPr>
      <w:r>
        <w:t xml:space="preserve">Data modification.</w:t>
      </w:r>
    </w:p>
    <w:p>
      <w:pPr>
        <w:pStyle w:val="Compact"/>
        <w:numPr>
          <w:ilvl w:val="0"/>
          <w:numId w:val="1007"/>
        </w:numPr>
      </w:pPr>
      <w:r>
        <w:t xml:space="preserve">Record deletion.</w:t>
      </w:r>
    </w:p>
    <w:p>
      <w:pPr>
        <w:pStyle w:val="Compact"/>
        <w:numPr>
          <w:ilvl w:val="0"/>
          <w:numId w:val="1007"/>
        </w:numPr>
      </w:pPr>
      <w:r>
        <w:t xml:space="preserve">Approval workflows.</w:t>
      </w:r>
    </w:p>
    <w:p>
      <w:pPr>
        <w:pStyle w:val="Compact"/>
        <w:numPr>
          <w:ilvl w:val="0"/>
          <w:numId w:val="1007"/>
        </w:numPr>
      </w:pPr>
      <w:r>
        <w:t xml:space="preserve">Synchronization events.</w:t>
      </w:r>
    </w:p>
    <w:p>
      <w:pPr>
        <w:pStyle w:val="Compact"/>
        <w:numPr>
          <w:ilvl w:val="0"/>
          <w:numId w:val="1007"/>
        </w:numPr>
      </w:pPr>
      <w:r>
        <w:t xml:space="preserve">Administrative actions.</w:t>
      </w:r>
    </w:p>
    <w:p>
      <w:pPr>
        <w:pStyle w:val="Compact"/>
        <w:numPr>
          <w:ilvl w:val="0"/>
          <w:numId w:val="1007"/>
        </w:numPr>
      </w:pPr>
      <w:r>
        <w:t xml:space="preserve">Security events.</w:t>
      </w:r>
    </w:p>
    <w:p>
      <w:pPr>
        <w:pStyle w:val="FirstParagraph"/>
      </w:pPr>
      <w:r>
        <w:t xml:space="preserve">Audit records support accountability and investigation where necessary.</w:t>
      </w:r>
    </w:p>
    <w:p>
      <w:r>
        <w:pict>
          <v:rect style="width:0;height:1.5pt" o:hralign="center" o:hrstd="t" o:hr="t"/>
        </w:pict>
      </w:r>
    </w:p>
    <w:bookmarkEnd w:id="40"/>
    <w:bookmarkStart w:id="41" w:name="cybersecurity-monitoring"/>
    <w:p>
      <w:pPr>
        <w:pStyle w:val="Heading1"/>
      </w:pPr>
      <w:r>
        <w:t xml:space="preserve">16.10 Cybersecurity Monitoring</w:t>
      </w:r>
    </w:p>
    <w:p>
      <w:pPr>
        <w:pStyle w:val="FirstParagraph"/>
      </w:pPr>
      <w:r>
        <w:t xml:space="preserve">The framework supports continuous monitoring of:</w:t>
      </w:r>
    </w:p>
    <w:p>
      <w:pPr>
        <w:pStyle w:val="Compact"/>
        <w:numPr>
          <w:ilvl w:val="0"/>
          <w:numId w:val="1008"/>
        </w:numPr>
      </w:pPr>
      <w:r>
        <w:t xml:space="preserve">Authentication activity.</w:t>
      </w:r>
    </w:p>
    <w:p>
      <w:pPr>
        <w:pStyle w:val="Compact"/>
        <w:numPr>
          <w:ilvl w:val="0"/>
          <w:numId w:val="1008"/>
        </w:numPr>
      </w:pPr>
      <w:r>
        <w:t xml:space="preserve">System availability.</w:t>
      </w:r>
    </w:p>
    <w:p>
      <w:pPr>
        <w:pStyle w:val="Compact"/>
        <w:numPr>
          <w:ilvl w:val="0"/>
          <w:numId w:val="1008"/>
        </w:numPr>
      </w:pPr>
      <w:r>
        <w:t xml:space="preserve">API usage.</w:t>
      </w:r>
    </w:p>
    <w:p>
      <w:pPr>
        <w:pStyle w:val="Compact"/>
        <w:numPr>
          <w:ilvl w:val="0"/>
          <w:numId w:val="1008"/>
        </w:numPr>
      </w:pPr>
      <w:r>
        <w:t xml:space="preserve">Synchronization health.</w:t>
      </w:r>
    </w:p>
    <w:p>
      <w:pPr>
        <w:pStyle w:val="Compact"/>
        <w:numPr>
          <w:ilvl w:val="0"/>
          <w:numId w:val="1008"/>
        </w:numPr>
      </w:pPr>
      <w:r>
        <w:t xml:space="preserve">Failed access attempts.</w:t>
      </w:r>
    </w:p>
    <w:p>
      <w:pPr>
        <w:pStyle w:val="Compact"/>
        <w:numPr>
          <w:ilvl w:val="0"/>
          <w:numId w:val="1008"/>
        </w:numPr>
      </w:pPr>
      <w:r>
        <w:t xml:space="preserve">Configuration changes.</w:t>
      </w:r>
    </w:p>
    <w:p>
      <w:pPr>
        <w:pStyle w:val="Compact"/>
        <w:numPr>
          <w:ilvl w:val="0"/>
          <w:numId w:val="1008"/>
        </w:numPr>
      </w:pPr>
      <w:r>
        <w:t xml:space="preserve">Operational anomalies.</w:t>
      </w:r>
    </w:p>
    <w:p>
      <w:pPr>
        <w:pStyle w:val="FirstParagraph"/>
      </w:pPr>
      <w:r>
        <w:t xml:space="preserve">Monitoring supports early detection and timely response.</w:t>
      </w:r>
    </w:p>
    <w:p>
      <w:r>
        <w:pict>
          <v:rect style="width:0;height:1.5pt" o:hralign="center" o:hrstd="t" o:hr="t"/>
        </w:pict>
      </w:r>
    </w:p>
    <w:bookmarkEnd w:id="41"/>
    <w:bookmarkStart w:id="42" w:name="incident-management"/>
    <w:p>
      <w:pPr>
        <w:pStyle w:val="Heading1"/>
      </w:pPr>
      <w:r>
        <w:t xml:space="preserve">16.11 Incident Management</w:t>
      </w:r>
    </w:p>
    <w:p>
      <w:pPr>
        <w:pStyle w:val="FirstParagraph"/>
      </w:pPr>
      <w:r>
        <w:t xml:space="preserve">Cybersecurity incidents follow a structured lifecycle.</w:t>
      </w:r>
    </w:p>
    <w:p>
      <w:pPr>
        <w:pStyle w:val="BodyText"/>
      </w:pPr>
      <w:r>
        <w:rPr>
          <w:rStyle w:val="VerbatimChar"/>
        </w:rPr>
        <w:t xml:space="preserve">text id="security002" Detection       │       ▼ Assessment       │       ▼ Containment       │       ▼ Investigation       │       ▼ Recovery       │       ▼ Lessons Learned</w:t>
      </w:r>
    </w:p>
    <w:p>
      <w:pPr>
        <w:pStyle w:val="BodyText"/>
      </w:pPr>
      <w:r>
        <w:t xml:space="preserve">This process promotes continuous improvement in security practices.</w:t>
      </w:r>
    </w:p>
    <w:p>
      <w:r>
        <w:pict>
          <v:rect style="width:0;height:1.5pt" o:hralign="center" o:hrstd="t" o:hr="t"/>
        </w:pict>
      </w:r>
    </w:p>
    <w:bookmarkEnd w:id="42"/>
    <w:bookmarkStart w:id="43" w:name="business-continuity"/>
    <w:p>
      <w:pPr>
        <w:pStyle w:val="Heading1"/>
      </w:pPr>
      <w:r>
        <w:t xml:space="preserve">16.12 Business Continuity</w:t>
      </w:r>
    </w:p>
    <w:p>
      <w:pPr>
        <w:pStyle w:val="FirstParagraph"/>
      </w:pPr>
      <w:r>
        <w:t xml:space="preserve">The framework supports continuity through:</w:t>
      </w:r>
    </w:p>
    <w:p>
      <w:pPr>
        <w:pStyle w:val="Compact"/>
        <w:numPr>
          <w:ilvl w:val="0"/>
          <w:numId w:val="1009"/>
        </w:numPr>
      </w:pPr>
      <w:r>
        <w:t xml:space="preserve">Regular backups.</w:t>
      </w:r>
    </w:p>
    <w:p>
      <w:pPr>
        <w:pStyle w:val="Compact"/>
        <w:numPr>
          <w:ilvl w:val="0"/>
          <w:numId w:val="1009"/>
        </w:numPr>
      </w:pPr>
      <w:r>
        <w:t xml:space="preserve">Redundant infrastructure where appropriate.</w:t>
      </w:r>
    </w:p>
    <w:p>
      <w:pPr>
        <w:pStyle w:val="Compact"/>
        <w:numPr>
          <w:ilvl w:val="0"/>
          <w:numId w:val="1009"/>
        </w:numPr>
      </w:pPr>
      <w:r>
        <w:t xml:space="preserve">Offline operational capability.</w:t>
      </w:r>
    </w:p>
    <w:p>
      <w:pPr>
        <w:pStyle w:val="Compact"/>
        <w:numPr>
          <w:ilvl w:val="0"/>
          <w:numId w:val="1009"/>
        </w:numPr>
      </w:pPr>
      <w:r>
        <w:t xml:space="preserve">Disaster recovery planning.</w:t>
      </w:r>
    </w:p>
    <w:p>
      <w:pPr>
        <w:pStyle w:val="Compact"/>
        <w:numPr>
          <w:ilvl w:val="0"/>
          <w:numId w:val="1009"/>
        </w:numPr>
      </w:pPr>
      <w:r>
        <w:t xml:space="preserve">Recovery testing.</w:t>
      </w:r>
    </w:p>
    <w:p>
      <w:pPr>
        <w:pStyle w:val="Compact"/>
        <w:numPr>
          <w:ilvl w:val="0"/>
          <w:numId w:val="1009"/>
        </w:numPr>
      </w:pPr>
      <w:r>
        <w:t xml:space="preserve">Operational monitoring.</w:t>
      </w:r>
    </w:p>
    <w:p>
      <w:pPr>
        <w:pStyle w:val="FirstParagraph"/>
      </w:pPr>
      <w:r>
        <w:t xml:space="preserve">These measures help maintain education services during technical disruptions.</w:t>
      </w:r>
    </w:p>
    <w:p>
      <w:r>
        <w:pict>
          <v:rect style="width:0;height:1.5pt" o:hralign="center" o:hrstd="t" o:hr="t"/>
        </w:pict>
      </w:r>
    </w:p>
    <w:bookmarkEnd w:id="43"/>
    <w:bookmarkStart w:id="44" w:name="artificial-intelligence-governance"/>
    <w:p>
      <w:pPr>
        <w:pStyle w:val="Heading1"/>
      </w:pPr>
      <w:r>
        <w:t xml:space="preserve">16.13 Artificial Intelligence Governance</w:t>
      </w:r>
    </w:p>
    <w:p>
      <w:pPr>
        <w:pStyle w:val="FirstParagraph"/>
      </w:pPr>
      <w:r>
        <w:t xml:space="preserve">Artificial Intelligence capabilities within EduOS Cameroon operate according to principles of:</w:t>
      </w:r>
    </w:p>
    <w:p>
      <w:pPr>
        <w:pStyle w:val="Compact"/>
        <w:numPr>
          <w:ilvl w:val="0"/>
          <w:numId w:val="1010"/>
        </w:numPr>
      </w:pPr>
      <w:r>
        <w:t xml:space="preserve">Human oversight.</w:t>
      </w:r>
    </w:p>
    <w:p>
      <w:pPr>
        <w:pStyle w:val="Compact"/>
        <w:numPr>
          <w:ilvl w:val="0"/>
          <w:numId w:val="1010"/>
        </w:numPr>
      </w:pPr>
      <w:r>
        <w:t xml:space="preserve">Transparency.</w:t>
      </w:r>
    </w:p>
    <w:p>
      <w:pPr>
        <w:pStyle w:val="Compact"/>
        <w:numPr>
          <w:ilvl w:val="0"/>
          <w:numId w:val="1010"/>
        </w:numPr>
      </w:pPr>
      <w:r>
        <w:t xml:space="preserve">Accountability.</w:t>
      </w:r>
    </w:p>
    <w:p>
      <w:pPr>
        <w:pStyle w:val="Compact"/>
        <w:numPr>
          <w:ilvl w:val="0"/>
          <w:numId w:val="1010"/>
        </w:numPr>
      </w:pPr>
      <w:r>
        <w:t xml:space="preserve">Fairness.</w:t>
      </w:r>
    </w:p>
    <w:p>
      <w:pPr>
        <w:pStyle w:val="Compact"/>
        <w:numPr>
          <w:ilvl w:val="0"/>
          <w:numId w:val="1010"/>
        </w:numPr>
      </w:pPr>
      <w:r>
        <w:t xml:space="preserve">Security.</w:t>
      </w:r>
    </w:p>
    <w:p>
      <w:pPr>
        <w:pStyle w:val="Compact"/>
        <w:numPr>
          <w:ilvl w:val="0"/>
          <w:numId w:val="1010"/>
        </w:numPr>
      </w:pPr>
      <w:r>
        <w:t xml:space="preserve">Continuous monitoring.</w:t>
      </w:r>
    </w:p>
    <w:p>
      <w:pPr>
        <w:pStyle w:val="FirstParagraph"/>
      </w:pPr>
      <w:r>
        <w:t xml:space="preserve">AI-generated recommendations support—but do not replace—authorized human decision-making.</w:t>
      </w:r>
    </w:p>
    <w:p>
      <w:r>
        <w:pict>
          <v:rect style="width:0;height:1.5pt" o:hralign="center" o:hrstd="t" o:hr="t"/>
        </w:pict>
      </w:r>
    </w:p>
    <w:bookmarkEnd w:id="44"/>
    <w:bookmarkStart w:id="51" w:name="functional-requirements"/>
    <w:p>
      <w:pPr>
        <w:pStyle w:val="Heading1"/>
      </w:pPr>
      <w:r>
        <w:t xml:space="preserve">16.14 Functional Requirements</w:t>
      </w:r>
    </w:p>
    <w:bookmarkStart w:id="45" w:name="fr-sec-001"/>
    <w:p>
      <w:pPr>
        <w:pStyle w:val="Heading3"/>
      </w:pPr>
      <w:r>
        <w:t xml:space="preserve">FR-SEC-001</w:t>
      </w:r>
    </w:p>
    <w:p>
      <w:pPr>
        <w:pStyle w:val="FirstParagraph"/>
      </w:pPr>
      <w:r>
        <w:t xml:space="preserve">Implement role-based access control.</w:t>
      </w:r>
    </w:p>
    <w:p>
      <w:r>
        <w:pict>
          <v:rect style="width:0;height:1.5pt" o:hralign="center" o:hrstd="t" o:hr="t"/>
        </w:pict>
      </w:r>
    </w:p>
    <w:bookmarkEnd w:id="45"/>
    <w:bookmarkStart w:id="46" w:name="fr-sec-002"/>
    <w:p>
      <w:pPr>
        <w:pStyle w:val="Heading3"/>
      </w:pPr>
      <w:r>
        <w:t xml:space="preserve">FR-SEC-002</w:t>
      </w:r>
    </w:p>
    <w:p>
      <w:pPr>
        <w:pStyle w:val="FirstParagraph"/>
      </w:pPr>
      <w:r>
        <w:t xml:space="preserve">Protect information through encryption during transmission and storage where appropriate.</w:t>
      </w:r>
    </w:p>
    <w:p>
      <w:r>
        <w:pict>
          <v:rect style="width:0;height:1.5pt" o:hralign="center" o:hrstd="t" o:hr="t"/>
        </w:pict>
      </w:r>
    </w:p>
    <w:bookmarkEnd w:id="46"/>
    <w:bookmarkStart w:id="47" w:name="fr-sec-003"/>
    <w:p>
      <w:pPr>
        <w:pStyle w:val="Heading3"/>
      </w:pPr>
      <w:r>
        <w:t xml:space="preserve">FR-SEC-003</w:t>
      </w:r>
    </w:p>
    <w:p>
      <w:pPr>
        <w:pStyle w:val="FirstParagraph"/>
      </w:pPr>
      <w:r>
        <w:t xml:space="preserve">Maintain comprehensive audit logs.</w:t>
      </w:r>
    </w:p>
    <w:p>
      <w:r>
        <w:pict>
          <v:rect style="width:0;height:1.5pt" o:hralign="center" o:hrstd="t" o:hr="t"/>
        </w:pict>
      </w:r>
    </w:p>
    <w:bookmarkEnd w:id="47"/>
    <w:bookmarkStart w:id="48" w:name="fr-sec-004"/>
    <w:p>
      <w:pPr>
        <w:pStyle w:val="Heading3"/>
      </w:pPr>
      <w:r>
        <w:t xml:space="preserve">FR-SEC-004</w:t>
      </w:r>
    </w:p>
    <w:p>
      <w:pPr>
        <w:pStyle w:val="FirstParagraph"/>
      </w:pPr>
      <w:r>
        <w:t xml:space="preserve">Support cybersecurity monitoring and alerting.</w:t>
      </w:r>
    </w:p>
    <w:p>
      <w:r>
        <w:pict>
          <v:rect style="width:0;height:1.5pt" o:hralign="center" o:hrstd="t" o:hr="t"/>
        </w:pict>
      </w:r>
    </w:p>
    <w:bookmarkEnd w:id="48"/>
    <w:bookmarkStart w:id="49" w:name="fr-sec-005"/>
    <w:p>
      <w:pPr>
        <w:pStyle w:val="Heading3"/>
      </w:pPr>
      <w:r>
        <w:t xml:space="preserve">FR-SEC-005</w:t>
      </w:r>
    </w:p>
    <w:p>
      <w:pPr>
        <w:pStyle w:val="FirstParagraph"/>
      </w:pPr>
      <w:r>
        <w:t xml:space="preserve">Provide incident management capabilities.</w:t>
      </w:r>
    </w:p>
    <w:p>
      <w:r>
        <w:pict>
          <v:rect style="width:0;height:1.5pt" o:hralign="center" o:hrstd="t" o:hr="t"/>
        </w:pict>
      </w:r>
    </w:p>
    <w:bookmarkEnd w:id="49"/>
    <w:bookmarkStart w:id="50" w:name="fr-sec-006"/>
    <w:p>
      <w:pPr>
        <w:pStyle w:val="Heading3"/>
      </w:pPr>
      <w:r>
        <w:t xml:space="preserve">FR-SEC-006</w:t>
      </w:r>
    </w:p>
    <w:p>
      <w:pPr>
        <w:pStyle w:val="FirstParagraph"/>
      </w:pPr>
      <w:r>
        <w:t xml:space="preserve">Support business continuity and disaster recovery.</w:t>
      </w:r>
    </w:p>
    <w:p>
      <w:r>
        <w:pict>
          <v:rect style="width:0;height:1.5pt" o:hralign="center" o:hrstd="t" o:hr="t"/>
        </w:pict>
      </w:r>
    </w:p>
    <w:bookmarkEnd w:id="50"/>
    <w:bookmarkEnd w:id="51"/>
    <w:bookmarkStart w:id="52" w:name="key-performance-indicators"/>
    <w:p>
      <w:pPr>
        <w:pStyle w:val="Heading1"/>
      </w:pPr>
      <w:r>
        <w:t xml:space="preserve">16.15 Key Performance Indicators</w:t>
      </w:r>
    </w:p>
    <w:p>
      <w:pPr>
        <w:pStyle w:val="FirstParagraph"/>
      </w:pPr>
      <w:r>
        <w:t xml:space="preserve">Illustrative indicators include:</w:t>
      </w:r>
    </w:p>
    <w:p>
      <w:pPr>
        <w:pStyle w:val="Compact"/>
        <w:numPr>
          <w:ilvl w:val="0"/>
          <w:numId w:val="1011"/>
        </w:numPr>
      </w:pPr>
      <w:r>
        <w:t xml:space="preserve">System availability.</w:t>
      </w:r>
    </w:p>
    <w:p>
      <w:pPr>
        <w:pStyle w:val="Compact"/>
        <w:numPr>
          <w:ilvl w:val="0"/>
          <w:numId w:val="1011"/>
        </w:numPr>
      </w:pPr>
      <w:r>
        <w:t xml:space="preserve">Successful backup completion rate.</w:t>
      </w:r>
    </w:p>
    <w:p>
      <w:pPr>
        <w:pStyle w:val="Compact"/>
        <w:numPr>
          <w:ilvl w:val="0"/>
          <w:numId w:val="1011"/>
        </w:numPr>
      </w:pPr>
      <w:r>
        <w:t xml:space="preserve">Average incident response time.</w:t>
      </w:r>
    </w:p>
    <w:p>
      <w:pPr>
        <w:pStyle w:val="Compact"/>
        <w:numPr>
          <w:ilvl w:val="0"/>
          <w:numId w:val="1011"/>
        </w:numPr>
      </w:pPr>
      <w:r>
        <w:t xml:space="preserve">Average incident resolution time.</w:t>
      </w:r>
    </w:p>
    <w:p>
      <w:pPr>
        <w:pStyle w:val="Compact"/>
        <w:numPr>
          <w:ilvl w:val="0"/>
          <w:numId w:val="1011"/>
        </w:numPr>
      </w:pPr>
      <w:r>
        <w:t xml:space="preserve">Percentage of users assigned appropriate roles.</w:t>
      </w:r>
    </w:p>
    <w:p>
      <w:pPr>
        <w:pStyle w:val="Compact"/>
        <w:numPr>
          <w:ilvl w:val="0"/>
          <w:numId w:val="1011"/>
        </w:numPr>
      </w:pPr>
      <w:r>
        <w:t xml:space="preserve">Audit log completeness.</w:t>
      </w:r>
    </w:p>
    <w:p>
      <w:pPr>
        <w:pStyle w:val="Compact"/>
        <w:numPr>
          <w:ilvl w:val="0"/>
          <w:numId w:val="1011"/>
        </w:numPr>
      </w:pPr>
      <w:r>
        <w:t xml:space="preserve">Security awareness training completion.</w:t>
      </w:r>
    </w:p>
    <w:p>
      <w:pPr>
        <w:pStyle w:val="Compact"/>
        <w:numPr>
          <w:ilvl w:val="0"/>
          <w:numId w:val="1011"/>
        </w:numPr>
      </w:pPr>
      <w:r>
        <w:t xml:space="preserve">Disaster recovery test success rate.</w:t>
      </w:r>
    </w:p>
    <w:p>
      <w:r>
        <w:pict>
          <v:rect style="width:0;height:1.5pt" o:hralign="center" o:hrstd="t" o:hr="t"/>
        </w:pict>
      </w:r>
    </w:p>
    <w:bookmarkEnd w:id="52"/>
    <w:bookmarkStart w:id="53" w:name="expected-benefits"/>
    <w:p>
      <w:pPr>
        <w:pStyle w:val="Heading1"/>
      </w:pPr>
      <w:r>
        <w:t xml:space="preserve">16.16 Expected Benefits</w:t>
      </w:r>
    </w:p>
    <w:p>
      <w:pPr>
        <w:pStyle w:val="FirstParagraph"/>
      </w:pPr>
      <w:r>
        <w:t xml:space="preserve">The National Education Data Governance, Privacy and Cybersecurity Framework is expected to contribute to:</w:t>
      </w:r>
    </w:p>
    <w:p>
      <w:pPr>
        <w:pStyle w:val="Compact"/>
        <w:numPr>
          <w:ilvl w:val="0"/>
          <w:numId w:val="1012"/>
        </w:numPr>
      </w:pPr>
      <w:r>
        <w:t xml:space="preserve">Greater stakeholder confidence.</w:t>
      </w:r>
    </w:p>
    <w:p>
      <w:pPr>
        <w:pStyle w:val="Compact"/>
        <w:numPr>
          <w:ilvl w:val="0"/>
          <w:numId w:val="1012"/>
        </w:numPr>
      </w:pPr>
      <w:r>
        <w:t xml:space="preserve">Stronger protection of education information.</w:t>
      </w:r>
    </w:p>
    <w:p>
      <w:pPr>
        <w:pStyle w:val="Compact"/>
        <w:numPr>
          <w:ilvl w:val="0"/>
          <w:numId w:val="1012"/>
        </w:numPr>
      </w:pPr>
      <w:r>
        <w:t xml:space="preserve">Improved operational resilience.</w:t>
      </w:r>
    </w:p>
    <w:p>
      <w:pPr>
        <w:pStyle w:val="Compact"/>
        <w:numPr>
          <w:ilvl w:val="0"/>
          <w:numId w:val="1012"/>
        </w:numPr>
      </w:pPr>
      <w:r>
        <w:t xml:space="preserve">Better compliance with institutional policies.</w:t>
      </w:r>
    </w:p>
    <w:p>
      <w:pPr>
        <w:pStyle w:val="Compact"/>
        <w:numPr>
          <w:ilvl w:val="0"/>
          <w:numId w:val="1012"/>
        </w:numPr>
      </w:pPr>
      <w:r>
        <w:t xml:space="preserve">Enhanced audit readiness.</w:t>
      </w:r>
    </w:p>
    <w:p>
      <w:pPr>
        <w:pStyle w:val="Compact"/>
        <w:numPr>
          <w:ilvl w:val="0"/>
          <w:numId w:val="1012"/>
        </w:numPr>
      </w:pPr>
      <w:r>
        <w:t xml:space="preserve">More reliable digital services.</w:t>
      </w:r>
    </w:p>
    <w:p>
      <w:pPr>
        <w:pStyle w:val="Compact"/>
        <w:numPr>
          <w:ilvl w:val="0"/>
          <w:numId w:val="1012"/>
        </w:numPr>
      </w:pPr>
      <w:r>
        <w:t xml:space="preserve">Sustainable long-term digital transformation.</w:t>
      </w:r>
    </w:p>
    <w:p>
      <w:pPr>
        <w:pStyle w:val="FirstParagraph"/>
      </w:pPr>
      <w:r>
        <w:t xml:space="preserve">These benefits depend upon strong governance, continuous monitoring, regular training, and institutional commitment.</w:t>
      </w:r>
    </w:p>
    <w:p>
      <w:r>
        <w:pict>
          <v:rect style="width:0;height:1.5pt" o:hralign="center" o:hrstd="t" o:hr="t"/>
        </w:pict>
      </w:r>
    </w:p>
    <w:bookmarkEnd w:id="53"/>
    <w:bookmarkStart w:id="54" w:name="chapter-summary"/>
    <w:p>
      <w:pPr>
        <w:pStyle w:val="Heading1"/>
      </w:pPr>
      <w:r>
        <w:t xml:space="preserve">16.17 Chapter Summary</w:t>
      </w:r>
    </w:p>
    <w:p>
      <w:pPr>
        <w:pStyle w:val="FirstParagraph"/>
      </w:pPr>
      <w:r>
        <w:t xml:space="preserve">Trust is the foundation of every successful digital public infrastructure.</w:t>
      </w:r>
    </w:p>
    <w:p>
      <w:pPr>
        <w:pStyle w:val="BodyText"/>
      </w:pPr>
      <w:r>
        <w:t xml:space="preserve">By combining sound data governance, responsible privacy practices, layered cybersecurity, operational resilience, and AI governance, EduOS Cameroon establishes a secure environment capable of supporting the long-term digital transformation of Cameroon’s education sector.</w:t>
      </w:r>
    </w:p>
    <w:p>
      <w:pPr>
        <w:pStyle w:val="BodyText"/>
      </w:pPr>
      <w:r>
        <w:t xml:space="preserve">The next chapter introduces the</w:t>
      </w:r>
      <w:r>
        <w:t xml:space="preserve"> </w:t>
      </w:r>
      <w:r>
        <w:rPr>
          <w:b/>
          <w:bCs/>
        </w:rPr>
        <w:t xml:space="preserve">National Education Artificial Intelligence and Advanced Analytics Framework</w:t>
      </w:r>
      <w:r>
        <w:t xml:space="preserve">, demonstrating how data collected across the education ecosystem can be transformed into operational intelligence, predictive planning, and decision support for schools, regional authorities, and national leadership.</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2026-07-10T14:20:54Z</dcterms:created>
  <dcterms:modified xsi:type="dcterms:W3CDTF">2026-07-10T14:20:54Z</dcterms:modified>
</cp:coreProperties>
</file>

<file path=docProps/custom.xml><?xml version="1.0" encoding="utf-8"?>
<Properties xmlns="http://schemas.openxmlformats.org/officeDocument/2006/custom-properties" xmlns:vt="http://schemas.openxmlformats.org/officeDocument/2006/docPropsVTypes"/>
</file>