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5"/>
    <w:p>
      <w:pPr>
        <w:pStyle w:val="Heading1"/>
      </w:pPr>
      <w:r>
        <w:t xml:space="preserve">CHAPTER 15</w:t>
      </w:r>
    </w:p>
    <w:bookmarkEnd w:id="20"/>
    <w:bookmarkStart w:id="22" w:name="Xd12dae7e88e8edee5451f342d59edb191cc6cc6"/>
    <w:p>
      <w:pPr>
        <w:pStyle w:val="Heading1"/>
      </w:pPr>
      <w:r>
        <w:t xml:space="preserve">NATIONAL EDUCATION DIGITAL IDENTITY FRAMEWORK</w:t>
      </w:r>
    </w:p>
    <w:bookmarkStart w:id="21" w:name="introduction"/>
    <w:p>
      <w:pPr>
        <w:pStyle w:val="Heading2"/>
      </w:pPr>
      <w:r>
        <w:t xml:space="preserve">15.1 Introduction</w:t>
      </w:r>
    </w:p>
    <w:p>
      <w:pPr>
        <w:pStyle w:val="FirstParagraph"/>
      </w:pPr>
      <w:r>
        <w:t xml:space="preserve">A modern digital education ecosystem depends upon the ability to uniquely and consistently identify every major entity participating in the education system.</w:t>
      </w:r>
    </w:p>
    <w:p>
      <w:pPr>
        <w:pStyle w:val="BodyText"/>
      </w:pPr>
      <w:r>
        <w:t xml:space="preserve">Schools, learners, teachers, textbooks, educational assets, warehouses, administrative offices, and authorized users all generate information that must be accurately linked across multiple operational processes.</w:t>
      </w:r>
    </w:p>
    <w:p>
      <w:pPr>
        <w:pStyle w:val="BodyText"/>
      </w:pPr>
      <w:r>
        <w:t xml:space="preserve">Without a common identity framework, information systems may create duplicate records, inconsistent reporting, fragmented operational histories, and unnecessary administrative effort.</w:t>
      </w:r>
    </w:p>
    <w:p>
      <w:pPr>
        <w:pStyle w:val="BodyText"/>
      </w:pPr>
      <w:r>
        <w:t xml:space="preserve">EduOS Cameroon introduces the National Education Digital Identity Framework (NEDIF), providing a secure, standardized approach for uniquely identifying education entities throughout their operational lifecycle.</w:t>
      </w:r>
    </w:p>
    <w:p>
      <w:pPr>
        <w:pStyle w:val="BodyText"/>
      </w:pPr>
      <w:r>
        <w:t xml:space="preserve">The framework establishes trusted digital identities that support interoperability, operational efficiency, analytics, and long-term governance.</w:t>
      </w:r>
    </w:p>
    <w:p>
      <w:r>
        <w:pict>
          <v:rect style="width:0;height:1.5pt" o:hralign="center" o:hrstd="t" o:hr="t"/>
        </w:pict>
      </w:r>
    </w:p>
    <w:bookmarkEnd w:id="21"/>
    <w:bookmarkEnd w:id="22"/>
    <w:bookmarkStart w:id="23" w:name="vision"/>
    <w:p>
      <w:pPr>
        <w:pStyle w:val="Heading1"/>
      </w:pPr>
      <w:r>
        <w:t xml:space="preserve">15.2 Vision</w:t>
      </w:r>
    </w:p>
    <w:p>
      <w:pPr>
        <w:pStyle w:val="FirstParagraph"/>
      </w:pPr>
      <w:r>
        <w:t xml:space="preserve">To establish a trusted national identity framework that enables every authorized education entity to be uniquely identified throughout its lifecycle while supporting secure information exchange across the education sector.</w:t>
      </w:r>
    </w:p>
    <w:p>
      <w:r>
        <w:pict>
          <v:rect style="width:0;height:1.5pt" o:hralign="center" o:hrstd="t" o:hr="t"/>
        </w:pict>
      </w:r>
    </w:p>
    <w:bookmarkEnd w:id="23"/>
    <w:bookmarkStart w:id="24" w:name="strategic-objectives"/>
    <w:p>
      <w:pPr>
        <w:pStyle w:val="Heading1"/>
      </w:pPr>
      <w:r>
        <w:t xml:space="preserve">15.3 Strategic Objectives</w:t>
      </w:r>
    </w:p>
    <w:p>
      <w:pPr>
        <w:pStyle w:val="FirstParagraph"/>
      </w:pPr>
      <w:r>
        <w:t xml:space="preserve">The framework seeks to:</w:t>
      </w:r>
    </w:p>
    <w:p>
      <w:pPr>
        <w:pStyle w:val="Compact"/>
        <w:numPr>
          <w:ilvl w:val="0"/>
          <w:numId w:val="1001"/>
        </w:numPr>
      </w:pPr>
      <w:r>
        <w:t xml:space="preserve">Eliminate duplicate records.</w:t>
      </w:r>
    </w:p>
    <w:p>
      <w:pPr>
        <w:pStyle w:val="Compact"/>
        <w:numPr>
          <w:ilvl w:val="0"/>
          <w:numId w:val="1001"/>
        </w:numPr>
      </w:pPr>
      <w:r>
        <w:t xml:space="preserve">Improve information quality.</w:t>
      </w:r>
    </w:p>
    <w:p>
      <w:pPr>
        <w:pStyle w:val="Compact"/>
        <w:numPr>
          <w:ilvl w:val="0"/>
          <w:numId w:val="1001"/>
        </w:numPr>
      </w:pPr>
      <w:r>
        <w:t xml:space="preserve">Strengthen interoperability.</w:t>
      </w:r>
    </w:p>
    <w:p>
      <w:pPr>
        <w:pStyle w:val="Compact"/>
        <w:numPr>
          <w:ilvl w:val="0"/>
          <w:numId w:val="1001"/>
        </w:numPr>
      </w:pPr>
      <w:r>
        <w:t xml:space="preserve">Support lifecycle management.</w:t>
      </w:r>
    </w:p>
    <w:p>
      <w:pPr>
        <w:pStyle w:val="Compact"/>
        <w:numPr>
          <w:ilvl w:val="0"/>
          <w:numId w:val="1001"/>
        </w:numPr>
      </w:pPr>
      <w:r>
        <w:t xml:space="preserve">Improve auditability.</w:t>
      </w:r>
    </w:p>
    <w:p>
      <w:pPr>
        <w:pStyle w:val="Compact"/>
        <w:numPr>
          <w:ilvl w:val="0"/>
          <w:numId w:val="1001"/>
        </w:numPr>
      </w:pPr>
      <w:r>
        <w:t xml:space="preserve">Enable accurate analytics.</w:t>
      </w:r>
    </w:p>
    <w:p>
      <w:pPr>
        <w:pStyle w:val="Compact"/>
        <w:numPr>
          <w:ilvl w:val="0"/>
          <w:numId w:val="1001"/>
        </w:numPr>
      </w:pPr>
      <w:r>
        <w:t xml:space="preserve">Simplify system integration.</w:t>
      </w:r>
    </w:p>
    <w:p>
      <w:pPr>
        <w:pStyle w:val="Compact"/>
        <w:numPr>
          <w:ilvl w:val="0"/>
          <w:numId w:val="1001"/>
        </w:numPr>
      </w:pPr>
      <w:r>
        <w:t xml:space="preserve">Support future digital services.</w:t>
      </w:r>
    </w:p>
    <w:p>
      <w:r>
        <w:pict>
          <v:rect style="width:0;height:1.5pt" o:hralign="center" o:hrstd="t" o:hr="t"/>
        </w:pict>
      </w:r>
    </w:p>
    <w:bookmarkEnd w:id="24"/>
    <w:bookmarkStart w:id="30" w:name="identity-principles"/>
    <w:p>
      <w:pPr>
        <w:pStyle w:val="Heading1"/>
      </w:pPr>
      <w:r>
        <w:t xml:space="preserve">15.4 Identity Principles</w:t>
      </w:r>
    </w:p>
    <w:p>
      <w:pPr>
        <w:pStyle w:val="FirstParagraph"/>
      </w:pPr>
      <w:r>
        <w:t xml:space="preserve">The framework follows several guiding principles.</w:t>
      </w:r>
    </w:p>
    <w:bookmarkStart w:id="25" w:name="uniqueness"/>
    <w:p>
      <w:pPr>
        <w:pStyle w:val="Heading3"/>
      </w:pPr>
      <w:r>
        <w:t xml:space="preserve">Uniqueness</w:t>
      </w:r>
    </w:p>
    <w:p>
      <w:pPr>
        <w:pStyle w:val="FirstParagraph"/>
      </w:pPr>
      <w:r>
        <w:t xml:space="preserve">Every registered entity receives a unique identifier.</w:t>
      </w:r>
    </w:p>
    <w:p>
      <w:r>
        <w:pict>
          <v:rect style="width:0;height:1.5pt" o:hralign="center" o:hrstd="t" o:hr="t"/>
        </w:pict>
      </w:r>
    </w:p>
    <w:bookmarkEnd w:id="25"/>
    <w:bookmarkStart w:id="26" w:name="permanence"/>
    <w:p>
      <w:pPr>
        <w:pStyle w:val="Heading3"/>
      </w:pPr>
      <w:r>
        <w:t xml:space="preserve">Permanence</w:t>
      </w:r>
    </w:p>
    <w:p>
      <w:pPr>
        <w:pStyle w:val="FirstParagraph"/>
      </w:pPr>
      <w:r>
        <w:t xml:space="preserve">Identifiers remain stable throughout the entity’s operational lifecycle wherever appropriate.</w:t>
      </w:r>
    </w:p>
    <w:p>
      <w:r>
        <w:pict>
          <v:rect style="width:0;height:1.5pt" o:hralign="center" o:hrstd="t" o:hr="t"/>
        </w:pict>
      </w:r>
    </w:p>
    <w:bookmarkEnd w:id="26"/>
    <w:bookmarkStart w:id="27" w:name="security"/>
    <w:p>
      <w:pPr>
        <w:pStyle w:val="Heading3"/>
      </w:pPr>
      <w:r>
        <w:t xml:space="preserve">Security</w:t>
      </w:r>
    </w:p>
    <w:p>
      <w:pPr>
        <w:pStyle w:val="FirstParagraph"/>
      </w:pPr>
      <w:r>
        <w:t xml:space="preserve">Identity information is protected through strong authentication, authorization, encryption, and auditing.</w:t>
      </w:r>
    </w:p>
    <w:p>
      <w:r>
        <w:pict>
          <v:rect style="width:0;height:1.5pt" o:hralign="center" o:hrstd="t" o:hr="t"/>
        </w:pict>
      </w:r>
    </w:p>
    <w:bookmarkEnd w:id="27"/>
    <w:bookmarkStart w:id="28" w:name="interoperability"/>
    <w:p>
      <w:pPr>
        <w:pStyle w:val="Heading3"/>
      </w:pPr>
      <w:r>
        <w:t xml:space="preserve">Interoperability</w:t>
      </w:r>
    </w:p>
    <w:p>
      <w:pPr>
        <w:pStyle w:val="FirstParagraph"/>
      </w:pPr>
      <w:r>
        <w:t xml:space="preserve">Identifiers support information exchange between approved systems.</w:t>
      </w:r>
    </w:p>
    <w:p>
      <w:r>
        <w:pict>
          <v:rect style="width:0;height:1.5pt" o:hralign="center" o:hrstd="t" o:hr="t"/>
        </w:pict>
      </w:r>
    </w:p>
    <w:bookmarkEnd w:id="28"/>
    <w:bookmarkStart w:id="29" w:name="scalability"/>
    <w:p>
      <w:pPr>
        <w:pStyle w:val="Heading3"/>
      </w:pPr>
      <w:r>
        <w:t xml:space="preserve">Scalability</w:t>
      </w:r>
    </w:p>
    <w:p>
      <w:pPr>
        <w:pStyle w:val="FirstParagraph"/>
      </w:pPr>
      <w:r>
        <w:t xml:space="preserve">The framework accommodates future education programmes without redesigning the identity structure.</w:t>
      </w:r>
    </w:p>
    <w:p>
      <w:r>
        <w:pict>
          <v:rect style="width:0;height:1.5pt" o:hralign="center" o:hrstd="t" o:hr="t"/>
        </w:pict>
      </w:r>
    </w:p>
    <w:bookmarkEnd w:id="29"/>
    <w:bookmarkEnd w:id="30"/>
    <w:bookmarkStart w:id="37" w:name="identity-domains"/>
    <w:p>
      <w:pPr>
        <w:pStyle w:val="Heading1"/>
      </w:pPr>
      <w:r>
        <w:t xml:space="preserve">15.5 Identity Domains</w:t>
      </w:r>
    </w:p>
    <w:p>
      <w:pPr>
        <w:pStyle w:val="FirstParagraph"/>
      </w:pPr>
      <w:r>
        <w:t xml:space="preserve">The framework supports multiple identity categories.</w:t>
      </w:r>
    </w:p>
    <w:bookmarkStart w:id="31" w:name="school-identity"/>
    <w:p>
      <w:pPr>
        <w:pStyle w:val="Heading2"/>
      </w:pPr>
      <w:r>
        <w:t xml:space="preserve">School Identity</w:t>
      </w:r>
    </w:p>
    <w:p>
      <w:pPr>
        <w:pStyle w:val="FirstParagraph"/>
      </w:pPr>
      <w:r>
        <w:t xml:space="preserve">Each school receives a permanent Education Institution Identifier.</w:t>
      </w:r>
    </w:p>
    <w:p>
      <w:pPr>
        <w:pStyle w:val="BodyText"/>
      </w:pPr>
      <w:r>
        <w:t xml:space="preserve">Illustrative information includes:</w:t>
      </w:r>
    </w:p>
    <w:p>
      <w:pPr>
        <w:pStyle w:val="Compact"/>
        <w:numPr>
          <w:ilvl w:val="0"/>
          <w:numId w:val="1002"/>
        </w:numPr>
      </w:pPr>
      <w:r>
        <w:t xml:space="preserve">National identifier.</w:t>
      </w:r>
    </w:p>
    <w:p>
      <w:pPr>
        <w:pStyle w:val="Compact"/>
        <w:numPr>
          <w:ilvl w:val="0"/>
          <w:numId w:val="1002"/>
        </w:numPr>
      </w:pPr>
      <w:r>
        <w:t xml:space="preserve">Official school name.</w:t>
      </w:r>
    </w:p>
    <w:p>
      <w:pPr>
        <w:pStyle w:val="Compact"/>
        <w:numPr>
          <w:ilvl w:val="0"/>
          <w:numId w:val="1002"/>
        </w:numPr>
      </w:pPr>
      <w:r>
        <w:t xml:space="preserve">Administrative location.</w:t>
      </w:r>
    </w:p>
    <w:p>
      <w:pPr>
        <w:pStyle w:val="Compact"/>
        <w:numPr>
          <w:ilvl w:val="0"/>
          <w:numId w:val="1002"/>
        </w:numPr>
      </w:pPr>
      <w:r>
        <w:t xml:space="preserve">Education level.</w:t>
      </w:r>
    </w:p>
    <w:p>
      <w:pPr>
        <w:pStyle w:val="Compact"/>
        <w:numPr>
          <w:ilvl w:val="0"/>
          <w:numId w:val="1002"/>
        </w:numPr>
      </w:pPr>
      <w:r>
        <w:t xml:space="preserve">Ownership category.</w:t>
      </w:r>
    </w:p>
    <w:p>
      <w:pPr>
        <w:pStyle w:val="Compact"/>
        <w:numPr>
          <w:ilvl w:val="0"/>
          <w:numId w:val="1002"/>
        </w:numPr>
      </w:pPr>
      <w:r>
        <w:t xml:space="preserve">Operational status.</w:t>
      </w:r>
    </w:p>
    <w:p>
      <w:r>
        <w:pict>
          <v:rect style="width:0;height:1.5pt" o:hralign="center" o:hrstd="t" o:hr="t"/>
        </w:pict>
      </w:r>
    </w:p>
    <w:bookmarkEnd w:id="31"/>
    <w:bookmarkStart w:id="32" w:name="learner-identity"/>
    <w:p>
      <w:pPr>
        <w:pStyle w:val="Heading2"/>
      </w:pPr>
      <w:r>
        <w:t xml:space="preserve">Learner Identity</w:t>
      </w:r>
    </w:p>
    <w:p>
      <w:pPr>
        <w:pStyle w:val="FirstParagraph"/>
      </w:pPr>
      <w:r>
        <w:t xml:space="preserve">Each learner is assigned or linked to an approved education identifier in accordance with government policy.</w:t>
      </w:r>
    </w:p>
    <w:p>
      <w:pPr>
        <w:pStyle w:val="BodyText"/>
      </w:pPr>
      <w:r>
        <w:t xml:space="preserve">Illustrative information includes:</w:t>
      </w:r>
    </w:p>
    <w:p>
      <w:pPr>
        <w:pStyle w:val="Compact"/>
        <w:numPr>
          <w:ilvl w:val="0"/>
          <w:numId w:val="1003"/>
        </w:numPr>
      </w:pPr>
      <w:r>
        <w:t xml:space="preserve">Education identifier.</w:t>
      </w:r>
    </w:p>
    <w:p>
      <w:pPr>
        <w:pStyle w:val="Compact"/>
        <w:numPr>
          <w:ilvl w:val="0"/>
          <w:numId w:val="1003"/>
        </w:numPr>
      </w:pPr>
      <w:r>
        <w:t xml:space="preserve">School history.</w:t>
      </w:r>
    </w:p>
    <w:p>
      <w:pPr>
        <w:pStyle w:val="Compact"/>
        <w:numPr>
          <w:ilvl w:val="0"/>
          <w:numId w:val="1003"/>
        </w:numPr>
      </w:pPr>
      <w:r>
        <w:t xml:space="preserve">Academic progression.</w:t>
      </w:r>
    </w:p>
    <w:p>
      <w:pPr>
        <w:pStyle w:val="Compact"/>
        <w:numPr>
          <w:ilvl w:val="0"/>
          <w:numId w:val="1003"/>
        </w:numPr>
      </w:pPr>
      <w:r>
        <w:t xml:space="preserve">Programme participation.</w:t>
      </w:r>
    </w:p>
    <w:p>
      <w:pPr>
        <w:pStyle w:val="FirstParagraph"/>
      </w:pPr>
      <w:r>
        <w:t xml:space="preserve">The framework is designed to accommodate future national identity integration where authorized by government policy.</w:t>
      </w:r>
    </w:p>
    <w:p>
      <w:r>
        <w:pict>
          <v:rect style="width:0;height:1.5pt" o:hralign="center" o:hrstd="t" o:hr="t"/>
        </w:pict>
      </w:r>
    </w:p>
    <w:bookmarkEnd w:id="32"/>
    <w:bookmarkStart w:id="33" w:name="teacher-identity"/>
    <w:p>
      <w:pPr>
        <w:pStyle w:val="Heading2"/>
      </w:pPr>
      <w:r>
        <w:t xml:space="preserve">Teacher Identity</w:t>
      </w:r>
    </w:p>
    <w:p>
      <w:pPr>
        <w:pStyle w:val="FirstParagraph"/>
      </w:pPr>
      <w:r>
        <w:t xml:space="preserve">Each teacher receives or is linked to a unique professional education identifier.</w:t>
      </w:r>
    </w:p>
    <w:p>
      <w:pPr>
        <w:pStyle w:val="BodyText"/>
      </w:pPr>
      <w:r>
        <w:t xml:space="preserve">Illustrative information includes:</w:t>
      </w:r>
    </w:p>
    <w:p>
      <w:pPr>
        <w:pStyle w:val="Compact"/>
        <w:numPr>
          <w:ilvl w:val="0"/>
          <w:numId w:val="1004"/>
        </w:numPr>
      </w:pPr>
      <w:r>
        <w:t xml:space="preserve">Professional profile.</w:t>
      </w:r>
    </w:p>
    <w:p>
      <w:pPr>
        <w:pStyle w:val="Compact"/>
        <w:numPr>
          <w:ilvl w:val="0"/>
          <w:numId w:val="1004"/>
        </w:numPr>
      </w:pPr>
      <w:r>
        <w:t xml:space="preserve">School assignments.</w:t>
      </w:r>
    </w:p>
    <w:p>
      <w:pPr>
        <w:pStyle w:val="Compact"/>
        <w:numPr>
          <w:ilvl w:val="0"/>
          <w:numId w:val="1004"/>
        </w:numPr>
      </w:pPr>
      <w:r>
        <w:t xml:space="preserve">Training history.</w:t>
      </w:r>
    </w:p>
    <w:p>
      <w:pPr>
        <w:pStyle w:val="Compact"/>
        <w:numPr>
          <w:ilvl w:val="0"/>
          <w:numId w:val="1004"/>
        </w:numPr>
      </w:pPr>
      <w:r>
        <w:t xml:space="preserve">Operational status.</w:t>
      </w:r>
    </w:p>
    <w:p>
      <w:r>
        <w:pict>
          <v:rect style="width:0;height:1.5pt" o:hralign="center" o:hrstd="t" o:hr="t"/>
        </w:pict>
      </w:r>
    </w:p>
    <w:bookmarkEnd w:id="33"/>
    <w:bookmarkStart w:id="34" w:name="educational-asset-identity"/>
    <w:p>
      <w:pPr>
        <w:pStyle w:val="Heading2"/>
      </w:pPr>
      <w:r>
        <w:t xml:space="preserve">Educational Asset Identity</w:t>
      </w:r>
    </w:p>
    <w:p>
      <w:pPr>
        <w:pStyle w:val="FirstParagraph"/>
      </w:pPr>
      <w:r>
        <w:t xml:space="preserve">Every strategic educational asset receives a Digital Asset Passport Number.</w:t>
      </w:r>
    </w:p>
    <w:p>
      <w:pPr>
        <w:pStyle w:val="BodyText"/>
      </w:pPr>
      <w:r>
        <w:t xml:space="preserve">Examples include:</w:t>
      </w:r>
    </w:p>
    <w:p>
      <w:pPr>
        <w:pStyle w:val="Compact"/>
        <w:numPr>
          <w:ilvl w:val="0"/>
          <w:numId w:val="1005"/>
        </w:numPr>
      </w:pPr>
      <w:r>
        <w:t xml:space="preserve">Computers.</w:t>
      </w:r>
    </w:p>
    <w:p>
      <w:pPr>
        <w:pStyle w:val="Compact"/>
        <w:numPr>
          <w:ilvl w:val="0"/>
          <w:numId w:val="1005"/>
        </w:numPr>
      </w:pPr>
      <w:r>
        <w:t xml:space="preserve">Laboratory equipment.</w:t>
      </w:r>
    </w:p>
    <w:p>
      <w:pPr>
        <w:pStyle w:val="Compact"/>
        <w:numPr>
          <w:ilvl w:val="0"/>
          <w:numId w:val="1005"/>
        </w:numPr>
      </w:pPr>
      <w:r>
        <w:t xml:space="preserve">Solar systems.</w:t>
      </w:r>
    </w:p>
    <w:p>
      <w:pPr>
        <w:pStyle w:val="Compact"/>
        <w:numPr>
          <w:ilvl w:val="0"/>
          <w:numId w:val="1005"/>
        </w:numPr>
      </w:pPr>
      <w:r>
        <w:t xml:space="preserve">Furniture.</w:t>
      </w:r>
    </w:p>
    <w:p>
      <w:pPr>
        <w:pStyle w:val="Compact"/>
        <w:numPr>
          <w:ilvl w:val="0"/>
          <w:numId w:val="1005"/>
        </w:numPr>
      </w:pPr>
      <w:r>
        <w:t xml:space="preserve">Vehicles.</w:t>
      </w:r>
    </w:p>
    <w:p>
      <w:pPr>
        <w:pStyle w:val="Compact"/>
        <w:numPr>
          <w:ilvl w:val="0"/>
          <w:numId w:val="1005"/>
        </w:numPr>
      </w:pPr>
      <w:r>
        <w:t xml:space="preserve">Library resources.</w:t>
      </w:r>
    </w:p>
    <w:p>
      <w:r>
        <w:pict>
          <v:rect style="width:0;height:1.5pt" o:hralign="center" o:hrstd="t" o:hr="t"/>
        </w:pict>
      </w:r>
    </w:p>
    <w:bookmarkEnd w:id="34"/>
    <w:bookmarkStart w:id="35" w:name="textbook-identity"/>
    <w:p>
      <w:pPr>
        <w:pStyle w:val="Heading2"/>
      </w:pPr>
      <w:r>
        <w:t xml:space="preserve">Textbook Identity</w:t>
      </w:r>
    </w:p>
    <w:p>
      <w:pPr>
        <w:pStyle w:val="FirstParagraph"/>
      </w:pPr>
      <w:r>
        <w:t xml:space="preserve">Each approved textbook receives a National Digital Textbook Passport Number linked to its lifecycle history.</w:t>
      </w:r>
    </w:p>
    <w:p>
      <w:r>
        <w:pict>
          <v:rect style="width:0;height:1.5pt" o:hralign="center" o:hrstd="t" o:hr="t"/>
        </w:pict>
      </w:r>
    </w:p>
    <w:bookmarkEnd w:id="35"/>
    <w:bookmarkStart w:id="36" w:name="administrative-identity"/>
    <w:p>
      <w:pPr>
        <w:pStyle w:val="Heading2"/>
      </w:pPr>
      <w:r>
        <w:t xml:space="preserve">Administrative Identity</w:t>
      </w:r>
    </w:p>
    <w:p>
      <w:pPr>
        <w:pStyle w:val="FirstParagraph"/>
      </w:pPr>
      <w:r>
        <w:t xml:space="preserve">Unique identifiers are assigned to:</w:t>
      </w:r>
    </w:p>
    <w:p>
      <w:pPr>
        <w:pStyle w:val="Compact"/>
        <w:numPr>
          <w:ilvl w:val="0"/>
          <w:numId w:val="1006"/>
        </w:numPr>
      </w:pPr>
      <w:r>
        <w:t xml:space="preserve">Regional delegations.</w:t>
      </w:r>
    </w:p>
    <w:p>
      <w:pPr>
        <w:pStyle w:val="Compact"/>
        <w:numPr>
          <w:ilvl w:val="0"/>
          <w:numId w:val="1006"/>
        </w:numPr>
      </w:pPr>
      <w:r>
        <w:t xml:space="preserve">Divisional offices.</w:t>
      </w:r>
    </w:p>
    <w:p>
      <w:pPr>
        <w:pStyle w:val="Compact"/>
        <w:numPr>
          <w:ilvl w:val="0"/>
          <w:numId w:val="1006"/>
        </w:numPr>
      </w:pPr>
      <w:r>
        <w:t xml:space="preserve">Warehouses.</w:t>
      </w:r>
    </w:p>
    <w:p>
      <w:pPr>
        <w:pStyle w:val="Compact"/>
        <w:numPr>
          <w:ilvl w:val="0"/>
          <w:numId w:val="1006"/>
        </w:numPr>
      </w:pPr>
      <w:r>
        <w:t xml:space="preserve">Inspection units.</w:t>
      </w:r>
    </w:p>
    <w:p>
      <w:pPr>
        <w:pStyle w:val="Compact"/>
        <w:numPr>
          <w:ilvl w:val="0"/>
          <w:numId w:val="1006"/>
        </w:numPr>
      </w:pPr>
      <w:r>
        <w:t xml:space="preserve">Operational centres.</w:t>
      </w:r>
    </w:p>
    <w:p>
      <w:r>
        <w:pict>
          <v:rect style="width:0;height:1.5pt" o:hralign="center" o:hrstd="t" o:hr="t"/>
        </w:pict>
      </w:r>
    </w:p>
    <w:bookmarkEnd w:id="36"/>
    <w:bookmarkEnd w:id="37"/>
    <w:bookmarkStart w:id="38" w:name="identity-lifecycle"/>
    <w:p>
      <w:pPr>
        <w:pStyle w:val="Heading1"/>
      </w:pPr>
      <w:r>
        <w:t xml:space="preserve">15.6 Identity Lifecycle</w:t>
      </w:r>
    </w:p>
    <w:p>
      <w:pPr>
        <w:pStyle w:val="FirstParagraph"/>
      </w:pPr>
      <w:r>
        <w:rPr>
          <w:rStyle w:val="VerbatimChar"/>
        </w:rPr>
        <w:t xml:space="preserve">text id="identity001" Registration       │       ▼ Verification       │       ▼ Approval       │       ▼ Activation       │       ▼ Operational Use       │       ▼ Updates       │       ▼ Archival       │       ▼ Retirement (where applicable)</w:t>
      </w:r>
    </w:p>
    <w:p>
      <w:pPr>
        <w:pStyle w:val="BodyText"/>
      </w:pPr>
      <w:r>
        <w:t xml:space="preserve">Each stage is recorded within the audit framework.</w:t>
      </w:r>
    </w:p>
    <w:p>
      <w:r>
        <w:pict>
          <v:rect style="width:0;height:1.5pt" o:hralign="center" o:hrstd="t" o:hr="t"/>
        </w:pict>
      </w:r>
    </w:p>
    <w:bookmarkEnd w:id="38"/>
    <w:bookmarkStart w:id="39" w:name="identity-verification"/>
    <w:p>
      <w:pPr>
        <w:pStyle w:val="Heading1"/>
      </w:pPr>
      <w:r>
        <w:t xml:space="preserve">15.7 Identity Verification</w:t>
      </w:r>
    </w:p>
    <w:p>
      <w:pPr>
        <w:pStyle w:val="FirstParagraph"/>
      </w:pPr>
      <w:r>
        <w:t xml:space="preserve">The framework supports verification through appropriate mechanisms, which may include:</w:t>
      </w:r>
    </w:p>
    <w:p>
      <w:pPr>
        <w:pStyle w:val="Compact"/>
        <w:numPr>
          <w:ilvl w:val="0"/>
          <w:numId w:val="1007"/>
        </w:numPr>
      </w:pPr>
      <w:r>
        <w:t xml:space="preserve">Administrative approval.</w:t>
      </w:r>
    </w:p>
    <w:p>
      <w:pPr>
        <w:pStyle w:val="Compact"/>
        <w:numPr>
          <w:ilvl w:val="0"/>
          <w:numId w:val="1007"/>
        </w:numPr>
      </w:pPr>
      <w:r>
        <w:t xml:space="preserve">Supporting documentation.</w:t>
      </w:r>
    </w:p>
    <w:p>
      <w:pPr>
        <w:pStyle w:val="Compact"/>
        <w:numPr>
          <w:ilvl w:val="0"/>
          <w:numId w:val="1007"/>
        </w:numPr>
      </w:pPr>
      <w:r>
        <w:t xml:space="preserve">QR code validation.</w:t>
      </w:r>
    </w:p>
    <w:p>
      <w:pPr>
        <w:pStyle w:val="Compact"/>
        <w:numPr>
          <w:ilvl w:val="0"/>
          <w:numId w:val="1007"/>
        </w:numPr>
      </w:pPr>
      <w:r>
        <w:t xml:space="preserve">Digital signatures.</w:t>
      </w:r>
    </w:p>
    <w:p>
      <w:pPr>
        <w:pStyle w:val="Compact"/>
        <w:numPr>
          <w:ilvl w:val="0"/>
          <w:numId w:val="1007"/>
        </w:numPr>
      </w:pPr>
      <w:r>
        <w:t xml:space="preserve">Secure authentication services.</w:t>
      </w:r>
    </w:p>
    <w:p>
      <w:pPr>
        <w:pStyle w:val="FirstParagraph"/>
      </w:pPr>
      <w:r>
        <w:t xml:space="preserve">Verification processes are implemented according to applicable government policies and operational procedures.</w:t>
      </w:r>
    </w:p>
    <w:p>
      <w:r>
        <w:pict>
          <v:rect style="width:0;height:1.5pt" o:hralign="center" o:hrstd="t" o:hr="t"/>
        </w:pict>
      </w:r>
    </w:p>
    <w:bookmarkEnd w:id="39"/>
    <w:bookmarkStart w:id="40" w:name="identity-governance"/>
    <w:p>
      <w:pPr>
        <w:pStyle w:val="Heading1"/>
      </w:pPr>
      <w:r>
        <w:t xml:space="preserve">15.8 Identity Governance</w:t>
      </w:r>
    </w:p>
    <w:p>
      <w:pPr>
        <w:pStyle w:val="FirstParagraph"/>
      </w:pPr>
      <w:r>
        <w:t xml:space="preserve">Effective identity management requires clearly defined responsibilities.</w:t>
      </w:r>
    </w:p>
    <w:p>
      <w:pPr>
        <w:pStyle w:val="BodyText"/>
      </w:pPr>
      <w:r>
        <w:t xml:space="preserve">Illustrative governance functions include:</w:t>
      </w:r>
    </w:p>
    <w:p>
      <w:pPr>
        <w:pStyle w:val="Compact"/>
        <w:numPr>
          <w:ilvl w:val="0"/>
          <w:numId w:val="1008"/>
        </w:numPr>
      </w:pPr>
      <w:r>
        <w:t xml:space="preserve">Identity creation.</w:t>
      </w:r>
    </w:p>
    <w:p>
      <w:pPr>
        <w:pStyle w:val="Compact"/>
        <w:numPr>
          <w:ilvl w:val="0"/>
          <w:numId w:val="1008"/>
        </w:numPr>
      </w:pPr>
      <w:r>
        <w:t xml:space="preserve">Identity validation.</w:t>
      </w:r>
    </w:p>
    <w:p>
      <w:pPr>
        <w:pStyle w:val="Compact"/>
        <w:numPr>
          <w:ilvl w:val="0"/>
          <w:numId w:val="1008"/>
        </w:numPr>
      </w:pPr>
      <w:r>
        <w:t xml:space="preserve">Identity updates.</w:t>
      </w:r>
    </w:p>
    <w:p>
      <w:pPr>
        <w:pStyle w:val="Compact"/>
        <w:numPr>
          <w:ilvl w:val="0"/>
          <w:numId w:val="1008"/>
        </w:numPr>
      </w:pPr>
      <w:r>
        <w:t xml:space="preserve">Identity deactivation.</w:t>
      </w:r>
    </w:p>
    <w:p>
      <w:pPr>
        <w:pStyle w:val="Compact"/>
        <w:numPr>
          <w:ilvl w:val="0"/>
          <w:numId w:val="1008"/>
        </w:numPr>
      </w:pPr>
      <w:r>
        <w:t xml:space="preserve">Duplicate resolution.</w:t>
      </w:r>
    </w:p>
    <w:p>
      <w:pPr>
        <w:pStyle w:val="Compact"/>
        <w:numPr>
          <w:ilvl w:val="0"/>
          <w:numId w:val="1008"/>
        </w:numPr>
      </w:pPr>
      <w:r>
        <w:t xml:space="preserve">Identity audits.</w:t>
      </w:r>
    </w:p>
    <w:p>
      <w:pPr>
        <w:pStyle w:val="FirstParagraph"/>
      </w:pPr>
      <w:r>
        <w:t xml:space="preserve">Each function is assigned to authorized administrative roles.</w:t>
      </w:r>
    </w:p>
    <w:p>
      <w:r>
        <w:pict>
          <v:rect style="width:0;height:1.5pt" o:hralign="center" o:hrstd="t" o:hr="t"/>
        </w:pict>
      </w:r>
    </w:p>
    <w:bookmarkEnd w:id="40"/>
    <w:bookmarkStart w:id="41" w:name="artificial-intelligence-opportunities"/>
    <w:p>
      <w:pPr>
        <w:pStyle w:val="Heading1"/>
      </w:pPr>
      <w:r>
        <w:t xml:space="preserve">15.9 Artificial Intelligence Opportunities</w:t>
      </w:r>
    </w:p>
    <w:p>
      <w:pPr>
        <w:pStyle w:val="FirstParagraph"/>
      </w:pPr>
      <w:r>
        <w:t xml:space="preserve">Artificial Intelligence may assist by:</w:t>
      </w:r>
    </w:p>
    <w:p>
      <w:pPr>
        <w:pStyle w:val="Compact"/>
        <w:numPr>
          <w:ilvl w:val="0"/>
          <w:numId w:val="1009"/>
        </w:numPr>
      </w:pPr>
      <w:r>
        <w:t xml:space="preserve">Detecting duplicate identity records.</w:t>
      </w:r>
    </w:p>
    <w:p>
      <w:pPr>
        <w:pStyle w:val="Compact"/>
        <w:numPr>
          <w:ilvl w:val="0"/>
          <w:numId w:val="1009"/>
        </w:numPr>
      </w:pPr>
      <w:r>
        <w:t xml:space="preserve">Identifying inconsistent information.</w:t>
      </w:r>
    </w:p>
    <w:p>
      <w:pPr>
        <w:pStyle w:val="Compact"/>
        <w:numPr>
          <w:ilvl w:val="0"/>
          <w:numId w:val="1009"/>
        </w:numPr>
      </w:pPr>
      <w:r>
        <w:t xml:space="preserve">Highlighting unusual identity activity.</w:t>
      </w:r>
    </w:p>
    <w:p>
      <w:pPr>
        <w:pStyle w:val="Compact"/>
        <w:numPr>
          <w:ilvl w:val="0"/>
          <w:numId w:val="1009"/>
        </w:numPr>
      </w:pPr>
      <w:r>
        <w:t xml:space="preserve">Supporting data quality improvement.</w:t>
      </w:r>
    </w:p>
    <w:p>
      <w:pPr>
        <w:pStyle w:val="Compact"/>
        <w:numPr>
          <w:ilvl w:val="0"/>
          <w:numId w:val="1009"/>
        </w:numPr>
      </w:pPr>
      <w:r>
        <w:t xml:space="preserve">Recommending record consolidation.</w:t>
      </w:r>
    </w:p>
    <w:p>
      <w:pPr>
        <w:pStyle w:val="FirstParagraph"/>
      </w:pPr>
      <w:r>
        <w:t xml:space="preserve">AI recommendations remain advisory and require human review.</w:t>
      </w:r>
    </w:p>
    <w:p>
      <w:r>
        <w:pict>
          <v:rect style="width:0;height:1.5pt" o:hralign="center" o:hrstd="t" o:hr="t"/>
        </w:pict>
      </w:r>
    </w:p>
    <w:bookmarkEnd w:id="41"/>
    <w:bookmarkStart w:id="48" w:name="functional-requirements"/>
    <w:p>
      <w:pPr>
        <w:pStyle w:val="Heading1"/>
      </w:pPr>
      <w:r>
        <w:t xml:space="preserve">15.10 Functional Requirements</w:t>
      </w:r>
    </w:p>
    <w:bookmarkStart w:id="42" w:name="fr-id-001"/>
    <w:p>
      <w:pPr>
        <w:pStyle w:val="Heading3"/>
      </w:pPr>
      <w:r>
        <w:t xml:space="preserve">FR-ID-001</w:t>
      </w:r>
    </w:p>
    <w:p>
      <w:pPr>
        <w:pStyle w:val="FirstParagraph"/>
      </w:pPr>
      <w:r>
        <w:t xml:space="preserve">Generate unique identifiers for supported education entities.</w:t>
      </w:r>
    </w:p>
    <w:p>
      <w:r>
        <w:pict>
          <v:rect style="width:0;height:1.5pt" o:hralign="center" o:hrstd="t" o:hr="t"/>
        </w:pict>
      </w:r>
    </w:p>
    <w:bookmarkEnd w:id="42"/>
    <w:bookmarkStart w:id="43" w:name="fr-id-002"/>
    <w:p>
      <w:pPr>
        <w:pStyle w:val="Heading3"/>
      </w:pPr>
      <w:r>
        <w:t xml:space="preserve">FR-ID-002</w:t>
      </w:r>
    </w:p>
    <w:p>
      <w:pPr>
        <w:pStyle w:val="FirstParagraph"/>
      </w:pPr>
      <w:r>
        <w:t xml:space="preserve">Maintain complete identity histories.</w:t>
      </w:r>
    </w:p>
    <w:p>
      <w:r>
        <w:pict>
          <v:rect style="width:0;height:1.5pt" o:hralign="center" o:hrstd="t" o:hr="t"/>
        </w:pict>
      </w:r>
    </w:p>
    <w:bookmarkEnd w:id="43"/>
    <w:bookmarkStart w:id="44" w:name="fr-id-003"/>
    <w:p>
      <w:pPr>
        <w:pStyle w:val="Heading3"/>
      </w:pPr>
      <w:r>
        <w:t xml:space="preserve">FR-ID-003</w:t>
      </w:r>
    </w:p>
    <w:p>
      <w:pPr>
        <w:pStyle w:val="FirstParagraph"/>
      </w:pPr>
      <w:r>
        <w:t xml:space="preserve">Support secure identity verification.</w:t>
      </w:r>
    </w:p>
    <w:p>
      <w:r>
        <w:pict>
          <v:rect style="width:0;height:1.5pt" o:hralign="center" o:hrstd="t" o:hr="t"/>
        </w:pict>
      </w:r>
    </w:p>
    <w:bookmarkEnd w:id="44"/>
    <w:bookmarkStart w:id="45" w:name="fr-id-004"/>
    <w:p>
      <w:pPr>
        <w:pStyle w:val="Heading3"/>
      </w:pPr>
      <w:r>
        <w:t xml:space="preserve">FR-ID-004</w:t>
      </w:r>
    </w:p>
    <w:p>
      <w:pPr>
        <w:pStyle w:val="FirstParagraph"/>
      </w:pPr>
      <w:r>
        <w:t xml:space="preserve">Manage identity updates and lifecycle events.</w:t>
      </w:r>
    </w:p>
    <w:p>
      <w:r>
        <w:pict>
          <v:rect style="width:0;height:1.5pt" o:hralign="center" o:hrstd="t" o:hr="t"/>
        </w:pict>
      </w:r>
    </w:p>
    <w:bookmarkEnd w:id="45"/>
    <w:bookmarkStart w:id="46" w:name="fr-id-005"/>
    <w:p>
      <w:pPr>
        <w:pStyle w:val="Heading3"/>
      </w:pPr>
      <w:r>
        <w:t xml:space="preserve">FR-ID-005</w:t>
      </w:r>
    </w:p>
    <w:p>
      <w:pPr>
        <w:pStyle w:val="FirstParagraph"/>
      </w:pPr>
      <w:r>
        <w:t xml:space="preserve">Provide identity search and validation services.</w:t>
      </w:r>
    </w:p>
    <w:p>
      <w:r>
        <w:pict>
          <v:rect style="width:0;height:1.5pt" o:hralign="center" o:hrstd="t" o:hr="t"/>
        </w:pict>
      </w:r>
    </w:p>
    <w:bookmarkEnd w:id="46"/>
    <w:bookmarkStart w:id="47" w:name="fr-id-006"/>
    <w:p>
      <w:pPr>
        <w:pStyle w:val="Heading3"/>
      </w:pPr>
      <w:r>
        <w:t xml:space="preserve">FR-ID-006</w:t>
      </w:r>
    </w:p>
    <w:p>
      <w:pPr>
        <w:pStyle w:val="FirstParagraph"/>
      </w:pPr>
      <w:r>
        <w:t xml:space="preserve">Integrate identity services across all EduOS Cameroon modules.</w:t>
      </w:r>
    </w:p>
    <w:p>
      <w:r>
        <w:pict>
          <v:rect style="width:0;height:1.5pt" o:hralign="center" o:hrstd="t" o:hr="t"/>
        </w:pict>
      </w:r>
    </w:p>
    <w:bookmarkEnd w:id="47"/>
    <w:bookmarkEnd w:id="48"/>
    <w:bookmarkStart w:id="49" w:name="key-performance-indicators"/>
    <w:p>
      <w:pPr>
        <w:pStyle w:val="Heading1"/>
      </w:pPr>
      <w:r>
        <w:t xml:space="preserve">15.11 Key Performance Indicators</w:t>
      </w:r>
    </w:p>
    <w:p>
      <w:pPr>
        <w:pStyle w:val="FirstParagraph"/>
      </w:pPr>
      <w:r>
        <w:t xml:space="preserve">Illustrative indicators include:</w:t>
      </w:r>
    </w:p>
    <w:p>
      <w:pPr>
        <w:pStyle w:val="Compact"/>
        <w:numPr>
          <w:ilvl w:val="0"/>
          <w:numId w:val="1010"/>
        </w:numPr>
      </w:pPr>
      <w:r>
        <w:t xml:space="preserve">Percentage of entities uniquely identified.</w:t>
      </w:r>
    </w:p>
    <w:p>
      <w:pPr>
        <w:pStyle w:val="Compact"/>
        <w:numPr>
          <w:ilvl w:val="0"/>
          <w:numId w:val="1010"/>
        </w:numPr>
      </w:pPr>
      <w:r>
        <w:t xml:space="preserve">Duplicate record rate.</w:t>
      </w:r>
    </w:p>
    <w:p>
      <w:pPr>
        <w:pStyle w:val="Compact"/>
        <w:numPr>
          <w:ilvl w:val="0"/>
          <w:numId w:val="1010"/>
        </w:numPr>
      </w:pPr>
      <w:r>
        <w:t xml:space="preserve">Identity verification completion rate.</w:t>
      </w:r>
    </w:p>
    <w:p>
      <w:pPr>
        <w:pStyle w:val="Compact"/>
        <w:numPr>
          <w:ilvl w:val="0"/>
          <w:numId w:val="1010"/>
        </w:numPr>
      </w:pPr>
      <w:r>
        <w:t xml:space="preserve">Average identity registration time.</w:t>
      </w:r>
    </w:p>
    <w:p>
      <w:pPr>
        <w:pStyle w:val="Compact"/>
        <w:numPr>
          <w:ilvl w:val="0"/>
          <w:numId w:val="1010"/>
        </w:numPr>
      </w:pPr>
      <w:r>
        <w:t xml:space="preserve">Identity data quality score.</w:t>
      </w:r>
    </w:p>
    <w:p>
      <w:pPr>
        <w:pStyle w:val="Compact"/>
        <w:numPr>
          <w:ilvl w:val="0"/>
          <w:numId w:val="1010"/>
        </w:numPr>
      </w:pPr>
      <w:r>
        <w:t xml:space="preserve">Successful identity validation requests.</w:t>
      </w:r>
    </w:p>
    <w:p>
      <w:pPr>
        <w:pStyle w:val="Compact"/>
        <w:numPr>
          <w:ilvl w:val="0"/>
          <w:numId w:val="1010"/>
        </w:numPr>
      </w:pPr>
      <w:r>
        <w:t xml:space="preserve">Identity audit completion rate.</w:t>
      </w:r>
    </w:p>
    <w:p>
      <w:r>
        <w:pict>
          <v:rect style="width:0;height:1.5pt" o:hralign="center" o:hrstd="t" o:hr="t"/>
        </w:pict>
      </w:r>
    </w:p>
    <w:bookmarkEnd w:id="49"/>
    <w:bookmarkStart w:id="50" w:name="expected-benefits"/>
    <w:p>
      <w:pPr>
        <w:pStyle w:val="Heading1"/>
      </w:pPr>
      <w:r>
        <w:t xml:space="preserve">15.12 Expected Benefits</w:t>
      </w:r>
    </w:p>
    <w:p>
      <w:pPr>
        <w:pStyle w:val="FirstParagraph"/>
      </w:pPr>
      <w:r>
        <w:t xml:space="preserve">The National Education Digital Identity Framework is expected to contribute to:</w:t>
      </w:r>
    </w:p>
    <w:p>
      <w:pPr>
        <w:pStyle w:val="Compact"/>
        <w:numPr>
          <w:ilvl w:val="0"/>
          <w:numId w:val="1011"/>
        </w:numPr>
      </w:pPr>
      <w:r>
        <w:t xml:space="preserve">Improved data quality.</w:t>
      </w:r>
    </w:p>
    <w:p>
      <w:pPr>
        <w:pStyle w:val="Compact"/>
        <w:numPr>
          <w:ilvl w:val="0"/>
          <w:numId w:val="1011"/>
        </w:numPr>
      </w:pPr>
      <w:r>
        <w:t xml:space="preserve">Stronger interoperability.</w:t>
      </w:r>
    </w:p>
    <w:p>
      <w:pPr>
        <w:pStyle w:val="Compact"/>
        <w:numPr>
          <w:ilvl w:val="0"/>
          <w:numId w:val="1011"/>
        </w:numPr>
      </w:pPr>
      <w:r>
        <w:t xml:space="preserve">Better lifecycle management.</w:t>
      </w:r>
    </w:p>
    <w:p>
      <w:pPr>
        <w:pStyle w:val="Compact"/>
        <w:numPr>
          <w:ilvl w:val="0"/>
          <w:numId w:val="1011"/>
        </w:numPr>
      </w:pPr>
      <w:r>
        <w:t xml:space="preserve">Reduced duplication.</w:t>
      </w:r>
    </w:p>
    <w:p>
      <w:pPr>
        <w:pStyle w:val="Compact"/>
        <w:numPr>
          <w:ilvl w:val="0"/>
          <w:numId w:val="1011"/>
        </w:numPr>
      </w:pPr>
      <w:r>
        <w:t xml:space="preserve">Enhanced operational efficiency.</w:t>
      </w:r>
    </w:p>
    <w:p>
      <w:pPr>
        <w:pStyle w:val="Compact"/>
        <w:numPr>
          <w:ilvl w:val="0"/>
          <w:numId w:val="1011"/>
        </w:numPr>
      </w:pPr>
      <w:r>
        <w:t xml:space="preserve">More reliable analytics.</w:t>
      </w:r>
    </w:p>
    <w:p>
      <w:pPr>
        <w:pStyle w:val="Compact"/>
        <w:numPr>
          <w:ilvl w:val="0"/>
          <w:numId w:val="1011"/>
        </w:numPr>
      </w:pPr>
      <w:r>
        <w:t xml:space="preserve">Stronger governance and auditability.</w:t>
      </w:r>
    </w:p>
    <w:p>
      <w:pPr>
        <w:pStyle w:val="FirstParagraph"/>
      </w:pPr>
      <w:r>
        <w:t xml:space="preserve">These benefits depend on consistent implementation, effective governance, and adherence to national policies.</w:t>
      </w:r>
    </w:p>
    <w:p>
      <w:r>
        <w:pict>
          <v:rect style="width:0;height:1.5pt" o:hralign="center" o:hrstd="t" o:hr="t"/>
        </w:pict>
      </w:r>
    </w:p>
    <w:bookmarkEnd w:id="50"/>
    <w:bookmarkStart w:id="51" w:name="chapter-summary"/>
    <w:p>
      <w:pPr>
        <w:pStyle w:val="Heading1"/>
      </w:pPr>
      <w:r>
        <w:t xml:space="preserve">15.13 Chapter Summary</w:t>
      </w:r>
    </w:p>
    <w:p>
      <w:pPr>
        <w:pStyle w:val="FirstParagraph"/>
      </w:pPr>
      <w:r>
        <w:t xml:space="preserve">The National Education Digital Identity Framework establishes the trusted identity layer for EduOS Cameroon.</w:t>
      </w:r>
    </w:p>
    <w:p>
      <w:pPr>
        <w:pStyle w:val="BodyText"/>
      </w:pPr>
      <w:r>
        <w:t xml:space="preserve">By providing secure, unique, and interoperable identities for schools, learners, teachers, textbooks, educational assets, and administrative entities, the framework enables reliable information exchange, accurate analytics, and efficient management across the national education ecosystem.</w:t>
      </w:r>
    </w:p>
    <w:p>
      <w:pPr>
        <w:pStyle w:val="BodyText"/>
      </w:pPr>
      <w:r>
        <w:t xml:space="preserve">The next chapter introduces the</w:t>
      </w:r>
      <w:r>
        <w:t xml:space="preserve"> </w:t>
      </w:r>
      <w:r>
        <w:rPr>
          <w:b/>
          <w:bCs/>
        </w:rPr>
        <w:t xml:space="preserve">National Education Data Governance, Privacy and Cybersecurity Framework</w:t>
      </w:r>
      <w:r>
        <w:t xml:space="preserve">, which defines how education information is protected, governed, shared, and managed throughout its lifecycle while supporting responsible digital transformation.</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2026-07-10T14:20:34Z</dcterms:created>
  <dcterms:modified xsi:type="dcterms:W3CDTF">2026-07-10T14:20:34Z</dcterms:modified>
</cp:coreProperties>
</file>

<file path=docProps/custom.xml><?xml version="1.0" encoding="utf-8"?>
<Properties xmlns="http://schemas.openxmlformats.org/officeDocument/2006/custom-properties" xmlns:vt="http://schemas.openxmlformats.org/officeDocument/2006/docPropsVTypes"/>
</file>