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4"/>
    <w:p>
      <w:pPr>
        <w:pStyle w:val="Heading1"/>
      </w:pPr>
      <w:r>
        <w:t xml:space="preserve">CHAPTER 14</w:t>
      </w:r>
    </w:p>
    <w:bookmarkEnd w:id="20"/>
    <w:bookmarkStart w:id="22" w:name="Xd2a65e1221b849d693e441aea4e71c365a78c16"/>
    <w:p>
      <w:pPr>
        <w:pStyle w:val="Heading1"/>
      </w:pPr>
      <w:r>
        <w:t xml:space="preserve">NATIONAL EDUCATION INTEROPERABILITY AND DIGITAL PUBLIC INFRASTRUCTURE FRAMEWORK</w:t>
      </w:r>
    </w:p>
    <w:bookmarkStart w:id="21" w:name="introduction"/>
    <w:p>
      <w:pPr>
        <w:pStyle w:val="Heading2"/>
      </w:pPr>
      <w:r>
        <w:t xml:space="preserve">14.1 Introduction</w:t>
      </w:r>
    </w:p>
    <w:p>
      <w:pPr>
        <w:pStyle w:val="FirstParagraph"/>
      </w:pPr>
      <w:r>
        <w:t xml:space="preserve">Digital transformation is most effective when information systems operate as an integrated ecosystem rather than as independent applications.</w:t>
      </w:r>
    </w:p>
    <w:p>
      <w:pPr>
        <w:pStyle w:val="BodyText"/>
      </w:pPr>
      <w:r>
        <w:t xml:space="preserve">Education ministries often manage multiple digital platforms developed at different times, for different purposes, and by different organizations. Without a common interoperability framework, these systems may require duplicate data entry, produce inconsistent information, and limit the ability to generate comprehensive operational insights.</w:t>
      </w:r>
    </w:p>
    <w:p>
      <w:pPr>
        <w:pStyle w:val="BodyText"/>
      </w:pPr>
      <w:r>
        <w:t xml:space="preserve">EduOS Cameroon proposes a National Education Interoperability Framework that enables authorized systems to exchange information securely through standardized interfaces while preserving the operational responsibilities of each institution.</w:t>
      </w:r>
    </w:p>
    <w:p>
      <w:pPr>
        <w:pStyle w:val="BodyText"/>
      </w:pPr>
      <w:r>
        <w:t xml:space="preserve">The objective is not to replace existing information systems, but to connect them through a secure and governed digital public infrastructure.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14.2 Vision</w:t>
      </w:r>
    </w:p>
    <w:p>
      <w:pPr>
        <w:pStyle w:val="FirstParagraph"/>
      </w:pPr>
      <w:r>
        <w:t xml:space="preserve">To establish a secure, standards-based interoperability ecosystem that enables trusted information exchange across Cameroon’s education sector while supporting future innovation and institutional collaboration.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14.3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Eliminate unnecessary duplicate data entry.</w:t>
      </w:r>
    </w:p>
    <w:p>
      <w:pPr>
        <w:pStyle w:val="Compact"/>
        <w:numPr>
          <w:ilvl w:val="0"/>
          <w:numId w:val="1001"/>
        </w:numPr>
      </w:pPr>
      <w:r>
        <w:t xml:space="preserve">Improve data consistency.</w:t>
      </w:r>
    </w:p>
    <w:p>
      <w:pPr>
        <w:pStyle w:val="Compact"/>
        <w:numPr>
          <w:ilvl w:val="0"/>
          <w:numId w:val="1001"/>
        </w:numPr>
      </w:pPr>
      <w:r>
        <w:t xml:space="preserve">Support secure information exchange.</w:t>
      </w:r>
    </w:p>
    <w:p>
      <w:pPr>
        <w:pStyle w:val="Compact"/>
        <w:numPr>
          <w:ilvl w:val="0"/>
          <w:numId w:val="1001"/>
        </w:numPr>
      </w:pPr>
      <w:r>
        <w:t xml:space="preserve">Strengthen institutional collaboration.</w:t>
      </w:r>
    </w:p>
    <w:p>
      <w:pPr>
        <w:pStyle w:val="Compact"/>
        <w:numPr>
          <w:ilvl w:val="0"/>
          <w:numId w:val="1001"/>
        </w:numPr>
      </w:pPr>
      <w:r>
        <w:t xml:space="preserve">Improve reporting and analytics.</w:t>
      </w:r>
    </w:p>
    <w:p>
      <w:pPr>
        <w:pStyle w:val="Compact"/>
        <w:numPr>
          <w:ilvl w:val="0"/>
          <w:numId w:val="1001"/>
        </w:numPr>
      </w:pPr>
      <w:r>
        <w:t xml:space="preserve">Enable scalable digital services.</w:t>
      </w:r>
    </w:p>
    <w:p>
      <w:pPr>
        <w:pStyle w:val="Compact"/>
        <w:numPr>
          <w:ilvl w:val="0"/>
          <w:numId w:val="1001"/>
        </w:numPr>
      </w:pPr>
      <w:r>
        <w:t xml:space="preserve">Support long-term sustainability.</w:t>
      </w:r>
    </w:p>
    <w:p>
      <w:pPr>
        <w:pStyle w:val="Compact"/>
        <w:numPr>
          <w:ilvl w:val="0"/>
          <w:numId w:val="1001"/>
        </w:numPr>
      </w:pPr>
      <w:r>
        <w:t xml:space="preserve">Promote responsible data governance.</w:t>
      </w:r>
    </w:p>
    <w:p>
      <w:r>
        <w:pict>
          <v:rect style="width:0;height:1.5pt" o:hralign="center" o:hrstd="t" o:hr="t"/>
        </w:pict>
      </w:r>
    </w:p>
    <w:bookmarkEnd w:id="24"/>
    <w:bookmarkStart w:id="31" w:name="guiding-principles"/>
    <w:p>
      <w:pPr>
        <w:pStyle w:val="Heading1"/>
      </w:pPr>
      <w:r>
        <w:t xml:space="preserve">14.4 Guiding Principles</w:t>
      </w:r>
    </w:p>
    <w:p>
      <w:pPr>
        <w:pStyle w:val="FirstParagraph"/>
      </w:pPr>
      <w:r>
        <w:t xml:space="preserve">The interoperability framework is built upon the following principles:</w:t>
      </w:r>
    </w:p>
    <w:bookmarkStart w:id="25" w:name="standards"/>
    <w:p>
      <w:pPr>
        <w:pStyle w:val="Heading3"/>
      </w:pPr>
      <w:r>
        <w:t xml:space="preserve">Standards</w:t>
      </w:r>
    </w:p>
    <w:p>
      <w:pPr>
        <w:pStyle w:val="FirstParagraph"/>
      </w:pPr>
      <w:r>
        <w:t xml:space="preserve">Use internationally recognized standards where appropriate while supporting national requirements.</w:t>
      </w:r>
    </w:p>
    <w:p>
      <w:r>
        <w:pict>
          <v:rect style="width:0;height:1.5pt" o:hralign="center" o:hrstd="t" o:hr="t"/>
        </w:pict>
      </w:r>
    </w:p>
    <w:bookmarkEnd w:id="25"/>
    <w:bookmarkStart w:id="26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Protect information through strong authentication, authorization, encryption, and auditing.</w:t>
      </w:r>
    </w:p>
    <w:p>
      <w:r>
        <w:pict>
          <v:rect style="width:0;height:1.5pt" o:hralign="center" o:hrstd="t" o:hr="t"/>
        </w:pict>
      </w:r>
    </w:p>
    <w:bookmarkEnd w:id="26"/>
    <w:bookmarkStart w:id="27" w:name="modularity"/>
    <w:p>
      <w:pPr>
        <w:pStyle w:val="Heading3"/>
      </w:pPr>
      <w:r>
        <w:t xml:space="preserve">Modularity</w:t>
      </w:r>
    </w:p>
    <w:p>
      <w:pPr>
        <w:pStyle w:val="FirstParagraph"/>
      </w:pPr>
      <w:r>
        <w:t xml:space="preserve">Allow systems to evolve independently while maintaining interoperability.</w:t>
      </w:r>
    </w:p>
    <w:p>
      <w:r>
        <w:pict>
          <v:rect style="width:0;height:1.5pt" o:hralign="center" o:hrstd="t" o:hr="t"/>
        </w:pict>
      </w:r>
    </w:p>
    <w:bookmarkEnd w:id="27"/>
    <w:bookmarkStart w:id="28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Support gradual expansion without major architectural redesign.</w:t>
      </w:r>
    </w:p>
    <w:p>
      <w:r>
        <w:pict>
          <v:rect style="width:0;height:1.5pt" o:hralign="center" o:hrstd="t" o:hr="t"/>
        </w:pict>
      </w:r>
    </w:p>
    <w:bookmarkEnd w:id="28"/>
    <w:bookmarkStart w:id="29" w:name="offline-resilience"/>
    <w:p>
      <w:pPr>
        <w:pStyle w:val="Heading3"/>
      </w:pPr>
      <w:r>
        <w:t xml:space="preserve">Offline Resilience</w:t>
      </w:r>
    </w:p>
    <w:p>
      <w:pPr>
        <w:pStyle w:val="FirstParagraph"/>
      </w:pPr>
      <w:r>
        <w:t xml:space="preserve">Ensure schools and field offices can continue operating during periods of limited connectivity.</w:t>
      </w:r>
    </w:p>
    <w:p>
      <w:r>
        <w:pict>
          <v:rect style="width:0;height:1.5pt" o:hralign="center" o:hrstd="t" o:hr="t"/>
        </w:pict>
      </w:r>
    </w:p>
    <w:bookmarkEnd w:id="29"/>
    <w:bookmarkStart w:id="30" w:name="institutional-ownership"/>
    <w:p>
      <w:pPr>
        <w:pStyle w:val="Heading3"/>
      </w:pPr>
      <w:r>
        <w:t xml:space="preserve">Institutional Ownership</w:t>
      </w:r>
    </w:p>
    <w:p>
      <w:pPr>
        <w:pStyle w:val="FirstParagraph"/>
      </w:pPr>
      <w:r>
        <w:t xml:space="preserve">Each participating institution remains responsible for the information it creates and manages.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fb15c532664df22a7586f20aed0df0bfe1d0173"/>
    <w:p>
      <w:pPr>
        <w:pStyle w:val="Heading1"/>
      </w:pPr>
      <w:r>
        <w:t xml:space="preserve">14.5 National Education Digital Public Infrastructure</w:t>
      </w:r>
    </w:p>
    <w:p>
      <w:pPr>
        <w:pStyle w:val="FirstParagraph"/>
      </w:pPr>
      <w:r>
        <w:t xml:space="preserve">The EduOS ecosystem consists of shared foundational services.</w:t>
      </w:r>
    </w:p>
    <w:p>
      <w:pPr>
        <w:pStyle w:val="BodyText"/>
      </w:pPr>
      <w:r>
        <w:rPr>
          <w:rStyle w:val="VerbatimChar"/>
        </w:rPr>
        <w:t xml:space="preserve">text id="interop001" Digital Identity         │         ▼ API Gateway         │         ▼ Interoperability Layer         │         ▼ Master Data Services         │         ▼ Messaging &amp; Synchronization         │         ▼ Analytics Platform         │         ▼ Applications</w:t>
      </w:r>
    </w:p>
    <w:p>
      <w:pPr>
        <w:pStyle w:val="BodyText"/>
      </w:pPr>
      <w:r>
        <w:t xml:space="preserve">These shared capabilities reduce duplication while supporting multiple education services.</w:t>
      </w:r>
    </w:p>
    <w:p>
      <w:r>
        <w:pict>
          <v:rect style="width:0;height:1.5pt" o:hralign="center" o:hrstd="t" o:hr="t"/>
        </w:pict>
      </w:r>
    </w:p>
    <w:bookmarkEnd w:id="32"/>
    <w:bookmarkStart w:id="38" w:name="core-shared-services"/>
    <w:p>
      <w:pPr>
        <w:pStyle w:val="Heading1"/>
      </w:pPr>
      <w:r>
        <w:t xml:space="preserve">14.6 Core Shared Services</w:t>
      </w:r>
    </w:p>
    <w:bookmarkStart w:id="33" w:name="national-education-identity-service"/>
    <w:p>
      <w:pPr>
        <w:pStyle w:val="Heading2"/>
      </w:pPr>
      <w:r>
        <w:t xml:space="preserve">National Education Identity Service</w:t>
      </w:r>
    </w:p>
    <w:p>
      <w:pPr>
        <w:pStyle w:val="FirstParagraph"/>
      </w:pPr>
      <w:r>
        <w:t xml:space="preserve">Supports unique identities for:</w:t>
      </w:r>
    </w:p>
    <w:p>
      <w:pPr>
        <w:pStyle w:val="Compact"/>
        <w:numPr>
          <w:ilvl w:val="0"/>
          <w:numId w:val="1002"/>
        </w:numPr>
      </w:pPr>
      <w:r>
        <w:t xml:space="preserve">Schools.</w:t>
      </w:r>
    </w:p>
    <w:p>
      <w:pPr>
        <w:pStyle w:val="Compact"/>
        <w:numPr>
          <w:ilvl w:val="0"/>
          <w:numId w:val="1002"/>
        </w:numPr>
      </w:pPr>
      <w:r>
        <w:t xml:space="preserve">Learners.</w:t>
      </w:r>
    </w:p>
    <w:p>
      <w:pPr>
        <w:pStyle w:val="Compact"/>
        <w:numPr>
          <w:ilvl w:val="0"/>
          <w:numId w:val="1002"/>
        </w:numPr>
      </w:pPr>
      <w:r>
        <w:t xml:space="preserve">Teachers.</w:t>
      </w:r>
    </w:p>
    <w:p>
      <w:pPr>
        <w:pStyle w:val="Compact"/>
        <w:numPr>
          <w:ilvl w:val="0"/>
          <w:numId w:val="1002"/>
        </w:numPr>
      </w:pPr>
      <w:r>
        <w:t xml:space="preserve">Educational assets.</w:t>
      </w:r>
    </w:p>
    <w:p>
      <w:pPr>
        <w:pStyle w:val="Compact"/>
        <w:numPr>
          <w:ilvl w:val="0"/>
          <w:numId w:val="1002"/>
        </w:numPr>
      </w:pPr>
      <w:r>
        <w:t xml:space="preserve">Textbooks.</w:t>
      </w:r>
    </w:p>
    <w:p>
      <w:pPr>
        <w:pStyle w:val="Compact"/>
        <w:numPr>
          <w:ilvl w:val="0"/>
          <w:numId w:val="1002"/>
        </w:numPr>
      </w:pPr>
      <w:r>
        <w:t xml:space="preserve">Warehouses.</w:t>
      </w:r>
    </w:p>
    <w:p>
      <w:pPr>
        <w:pStyle w:val="Compact"/>
        <w:numPr>
          <w:ilvl w:val="0"/>
          <w:numId w:val="1002"/>
        </w:numPr>
      </w:pPr>
      <w:r>
        <w:t xml:space="preserve">Administrative units.</w:t>
      </w:r>
    </w:p>
    <w:p>
      <w:r>
        <w:pict>
          <v:rect style="width:0;height:1.5pt" o:hralign="center" o:hrstd="t" o:hr="t"/>
        </w:pict>
      </w:r>
    </w:p>
    <w:bookmarkEnd w:id="33"/>
    <w:bookmarkStart w:id="34" w:name="api-gateway"/>
    <w:p>
      <w:pPr>
        <w:pStyle w:val="Heading2"/>
      </w:pPr>
      <w:r>
        <w:t xml:space="preserve">API Gateway</w:t>
      </w:r>
    </w:p>
    <w:p>
      <w:pPr>
        <w:pStyle w:val="FirstParagraph"/>
      </w:pPr>
      <w:r>
        <w:t xml:space="preserve">Provides a controlled entry point for approved systems to:</w:t>
      </w:r>
    </w:p>
    <w:p>
      <w:pPr>
        <w:pStyle w:val="Compact"/>
        <w:numPr>
          <w:ilvl w:val="0"/>
          <w:numId w:val="1003"/>
        </w:numPr>
      </w:pPr>
      <w:r>
        <w:t xml:space="preserve">Exchange information.</w:t>
      </w:r>
    </w:p>
    <w:p>
      <w:pPr>
        <w:pStyle w:val="Compact"/>
        <w:numPr>
          <w:ilvl w:val="0"/>
          <w:numId w:val="1003"/>
        </w:numPr>
      </w:pPr>
      <w:r>
        <w:t xml:space="preserve">Authenticate requests.</w:t>
      </w:r>
    </w:p>
    <w:p>
      <w:pPr>
        <w:pStyle w:val="Compact"/>
        <w:numPr>
          <w:ilvl w:val="0"/>
          <w:numId w:val="1003"/>
        </w:numPr>
      </w:pPr>
      <w:r>
        <w:t xml:space="preserve">Monitor usage.</w:t>
      </w:r>
    </w:p>
    <w:p>
      <w:pPr>
        <w:pStyle w:val="Compact"/>
        <w:numPr>
          <w:ilvl w:val="0"/>
          <w:numId w:val="1003"/>
        </w:numPr>
      </w:pPr>
      <w:r>
        <w:t xml:space="preserve">Apply security policies.</w:t>
      </w:r>
    </w:p>
    <w:p>
      <w:r>
        <w:pict>
          <v:rect style="width:0;height:1.5pt" o:hralign="center" o:hrstd="t" o:hr="t"/>
        </w:pict>
      </w:r>
    </w:p>
    <w:bookmarkEnd w:id="34"/>
    <w:bookmarkStart w:id="35" w:name="synchronization-engine"/>
    <w:p>
      <w:pPr>
        <w:pStyle w:val="Heading2"/>
      </w:pPr>
      <w:r>
        <w:t xml:space="preserve">Synchronization Engine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4"/>
        </w:numPr>
      </w:pPr>
      <w:r>
        <w:t xml:space="preserve">Offline data capture.</w:t>
      </w:r>
    </w:p>
    <w:p>
      <w:pPr>
        <w:pStyle w:val="Compact"/>
        <w:numPr>
          <w:ilvl w:val="0"/>
          <w:numId w:val="1004"/>
        </w:numPr>
      </w:pPr>
      <w:r>
        <w:t xml:space="preserve">Secure synchronization.</w:t>
      </w:r>
    </w:p>
    <w:p>
      <w:pPr>
        <w:pStyle w:val="Compact"/>
        <w:numPr>
          <w:ilvl w:val="0"/>
          <w:numId w:val="1004"/>
        </w:numPr>
      </w:pPr>
      <w:r>
        <w:t xml:space="preserve">Conflict resolution.</w:t>
      </w:r>
    </w:p>
    <w:p>
      <w:pPr>
        <w:pStyle w:val="Compact"/>
        <w:numPr>
          <w:ilvl w:val="0"/>
          <w:numId w:val="1004"/>
        </w:numPr>
      </w:pPr>
      <w:r>
        <w:t xml:space="preserve">Transaction integrity.</w:t>
      </w:r>
    </w:p>
    <w:p>
      <w:pPr>
        <w:pStyle w:val="Compact"/>
        <w:numPr>
          <w:ilvl w:val="0"/>
          <w:numId w:val="1004"/>
        </w:numPr>
      </w:pPr>
      <w:r>
        <w:t xml:space="preserve">Reliable message delivery.</w:t>
      </w:r>
    </w:p>
    <w:p>
      <w:r>
        <w:pict>
          <v:rect style="width:0;height:1.5pt" o:hralign="center" o:hrstd="t" o:hr="t"/>
        </w:pict>
      </w:r>
    </w:p>
    <w:bookmarkEnd w:id="35"/>
    <w:bookmarkStart w:id="36" w:name="master-data-management"/>
    <w:p>
      <w:pPr>
        <w:pStyle w:val="Heading2"/>
      </w:pPr>
      <w:r>
        <w:t xml:space="preserve">Master Data Management</w:t>
      </w:r>
    </w:p>
    <w:p>
      <w:pPr>
        <w:pStyle w:val="FirstParagraph"/>
      </w:pPr>
      <w:r>
        <w:t xml:space="preserve">Maintains authoritative reference information for:</w:t>
      </w:r>
    </w:p>
    <w:p>
      <w:pPr>
        <w:pStyle w:val="Compact"/>
        <w:numPr>
          <w:ilvl w:val="0"/>
          <w:numId w:val="1005"/>
        </w:numPr>
      </w:pPr>
      <w:r>
        <w:t xml:space="preserve">Administrative boundaries.</w:t>
      </w:r>
    </w:p>
    <w:p>
      <w:pPr>
        <w:pStyle w:val="Compact"/>
        <w:numPr>
          <w:ilvl w:val="0"/>
          <w:numId w:val="1005"/>
        </w:numPr>
      </w:pPr>
      <w:r>
        <w:t xml:space="preserve">Schools.</w:t>
      </w:r>
    </w:p>
    <w:p>
      <w:pPr>
        <w:pStyle w:val="Compact"/>
        <w:numPr>
          <w:ilvl w:val="0"/>
          <w:numId w:val="1005"/>
        </w:numPr>
      </w:pPr>
      <w:r>
        <w:t xml:space="preserve">Subjects.</w:t>
      </w:r>
    </w:p>
    <w:p>
      <w:pPr>
        <w:pStyle w:val="Compact"/>
        <w:numPr>
          <w:ilvl w:val="0"/>
          <w:numId w:val="1005"/>
        </w:numPr>
      </w:pPr>
      <w:r>
        <w:t xml:space="preserve">Grades.</w:t>
      </w:r>
    </w:p>
    <w:p>
      <w:pPr>
        <w:pStyle w:val="Compact"/>
        <w:numPr>
          <w:ilvl w:val="0"/>
          <w:numId w:val="1005"/>
        </w:numPr>
      </w:pPr>
      <w:r>
        <w:t xml:space="preserve">Asset classifications.</w:t>
      </w:r>
    </w:p>
    <w:p>
      <w:pPr>
        <w:pStyle w:val="Compact"/>
        <w:numPr>
          <w:ilvl w:val="0"/>
          <w:numId w:val="1005"/>
        </w:numPr>
      </w:pPr>
      <w:r>
        <w:t xml:space="preserve">Textbook catalogues.</w:t>
      </w:r>
    </w:p>
    <w:p>
      <w:pPr>
        <w:pStyle w:val="Compact"/>
        <w:numPr>
          <w:ilvl w:val="0"/>
          <w:numId w:val="1005"/>
        </w:numPr>
      </w:pPr>
      <w:r>
        <w:t xml:space="preserve">Organizational structures.</w:t>
      </w:r>
    </w:p>
    <w:p>
      <w:r>
        <w:pict>
          <v:rect style="width:0;height:1.5pt" o:hralign="center" o:hrstd="t" o:hr="t"/>
        </w:pict>
      </w:r>
    </w:p>
    <w:bookmarkEnd w:id="36"/>
    <w:bookmarkStart w:id="37" w:name="audit-services"/>
    <w:p>
      <w:pPr>
        <w:pStyle w:val="Heading2"/>
      </w:pPr>
      <w:r>
        <w:t xml:space="preserve">Audit Services</w:t>
      </w:r>
    </w:p>
    <w:p>
      <w:pPr>
        <w:pStyle w:val="FirstParagraph"/>
      </w:pPr>
      <w:r>
        <w:t xml:space="preserve">Records:</w:t>
      </w:r>
    </w:p>
    <w:p>
      <w:pPr>
        <w:pStyle w:val="Compact"/>
        <w:numPr>
          <w:ilvl w:val="0"/>
          <w:numId w:val="1006"/>
        </w:numPr>
      </w:pPr>
      <w:r>
        <w:t xml:space="preserve">System activity.</w:t>
      </w:r>
    </w:p>
    <w:p>
      <w:pPr>
        <w:pStyle w:val="Compact"/>
        <w:numPr>
          <w:ilvl w:val="0"/>
          <w:numId w:val="1006"/>
        </w:numPr>
      </w:pPr>
      <w:r>
        <w:t xml:space="preserve">User actions.</w:t>
      </w:r>
    </w:p>
    <w:p>
      <w:pPr>
        <w:pStyle w:val="Compact"/>
        <w:numPr>
          <w:ilvl w:val="0"/>
          <w:numId w:val="1006"/>
        </w:numPr>
      </w:pPr>
      <w:r>
        <w:t xml:space="preserve">Data changes.</w:t>
      </w:r>
    </w:p>
    <w:p>
      <w:pPr>
        <w:pStyle w:val="Compact"/>
        <w:numPr>
          <w:ilvl w:val="0"/>
          <w:numId w:val="1006"/>
        </w:numPr>
      </w:pPr>
      <w:r>
        <w:t xml:space="preserve">Synchronization events.</w:t>
      </w:r>
    </w:p>
    <w:p>
      <w:pPr>
        <w:pStyle w:val="Compact"/>
        <w:numPr>
          <w:ilvl w:val="0"/>
          <w:numId w:val="1006"/>
        </w:numPr>
      </w:pPr>
      <w:r>
        <w:t xml:space="preserve">Administrative operations.</w:t>
      </w:r>
    </w:p>
    <w:p>
      <w:pPr>
        <w:pStyle w:val="FirstParagraph"/>
      </w:pPr>
      <w:r>
        <w:t xml:space="preserve">These records support accountability and system governance.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information-exchange"/>
    <w:p>
      <w:pPr>
        <w:pStyle w:val="Heading1"/>
      </w:pPr>
      <w:r>
        <w:t xml:space="preserve">14.7 Information Exchange</w:t>
      </w:r>
    </w:p>
    <w:p>
      <w:pPr>
        <w:pStyle w:val="FirstParagraph"/>
      </w:pPr>
      <w:r>
        <w:t xml:space="preserve">Illustrative information exchanges include:</w:t>
      </w:r>
    </w:p>
    <w:p>
      <w:pPr>
        <w:pStyle w:val="Compact"/>
        <w:numPr>
          <w:ilvl w:val="0"/>
          <w:numId w:val="1007"/>
        </w:numPr>
      </w:pPr>
      <w:r>
        <w:t xml:space="preserve">School profile updates.</w:t>
      </w:r>
    </w:p>
    <w:p>
      <w:pPr>
        <w:pStyle w:val="Compact"/>
        <w:numPr>
          <w:ilvl w:val="0"/>
          <w:numId w:val="1007"/>
        </w:numPr>
      </w:pPr>
      <w:r>
        <w:t xml:space="preserve">Textbook inventory.</w:t>
      </w:r>
    </w:p>
    <w:p>
      <w:pPr>
        <w:pStyle w:val="Compact"/>
        <w:numPr>
          <w:ilvl w:val="0"/>
          <w:numId w:val="1007"/>
        </w:numPr>
      </w:pPr>
      <w:r>
        <w:t xml:space="preserve">Asset registration.</w:t>
      </w:r>
    </w:p>
    <w:p>
      <w:pPr>
        <w:pStyle w:val="Compact"/>
        <w:numPr>
          <w:ilvl w:val="0"/>
          <w:numId w:val="1007"/>
        </w:numPr>
      </w:pPr>
      <w:r>
        <w:t xml:space="preserve">Inspection findings.</w:t>
      </w:r>
    </w:p>
    <w:p>
      <w:pPr>
        <w:pStyle w:val="Compact"/>
        <w:numPr>
          <w:ilvl w:val="0"/>
          <w:numId w:val="1007"/>
        </w:numPr>
      </w:pPr>
      <w:r>
        <w:t xml:space="preserve">Distribution confirmations.</w:t>
      </w:r>
    </w:p>
    <w:p>
      <w:pPr>
        <w:pStyle w:val="Compact"/>
        <w:numPr>
          <w:ilvl w:val="0"/>
          <w:numId w:val="1007"/>
        </w:numPr>
      </w:pPr>
      <w:r>
        <w:t xml:space="preserve">Procurement milestones.</w:t>
      </w:r>
    </w:p>
    <w:p>
      <w:pPr>
        <w:pStyle w:val="Compact"/>
        <w:numPr>
          <w:ilvl w:val="0"/>
          <w:numId w:val="1007"/>
        </w:numPr>
      </w:pPr>
      <w:r>
        <w:t xml:space="preserve">Warehouse stock balances.</w:t>
      </w:r>
    </w:p>
    <w:p>
      <w:pPr>
        <w:pStyle w:val="Compact"/>
        <w:numPr>
          <w:ilvl w:val="0"/>
          <w:numId w:val="1007"/>
        </w:numPr>
      </w:pPr>
      <w:r>
        <w:t xml:space="preserve">Executive reporting.</w:t>
      </w:r>
    </w:p>
    <w:p>
      <w:pPr>
        <w:pStyle w:val="FirstParagraph"/>
      </w:pPr>
      <w:r>
        <w:t xml:space="preserve">Information sharing occurs only between authorized systems according to defined governance policies.</w:t>
      </w:r>
    </w:p>
    <w:p>
      <w:r>
        <w:pict>
          <v:rect style="width:0;height:1.5pt" o:hralign="center" o:hrstd="t" o:hr="t"/>
        </w:pict>
      </w:r>
    </w:p>
    <w:bookmarkEnd w:id="39"/>
    <w:bookmarkStart w:id="40" w:name="artificial-intelligence-integration"/>
    <w:p>
      <w:pPr>
        <w:pStyle w:val="Heading1"/>
      </w:pPr>
      <w:r>
        <w:t xml:space="preserve">14.8 Artificial Intelligence Integration</w:t>
      </w:r>
    </w:p>
    <w:p>
      <w:pPr>
        <w:pStyle w:val="FirstParagraph"/>
      </w:pPr>
      <w:r>
        <w:t xml:space="preserve">The interoperability platform enables AI services to access approved operational information for purposes such as:</w:t>
      </w:r>
    </w:p>
    <w:p>
      <w:pPr>
        <w:pStyle w:val="Compact"/>
        <w:numPr>
          <w:ilvl w:val="0"/>
          <w:numId w:val="1008"/>
        </w:numPr>
      </w:pPr>
      <w:r>
        <w:t xml:space="preserve">Forecasting.</w:t>
      </w:r>
    </w:p>
    <w:p>
      <w:pPr>
        <w:pStyle w:val="Compact"/>
        <w:numPr>
          <w:ilvl w:val="0"/>
          <w:numId w:val="1008"/>
        </w:numPr>
      </w:pPr>
      <w:r>
        <w:t xml:space="preserve">Trend analysis.</w:t>
      </w:r>
    </w:p>
    <w:p>
      <w:pPr>
        <w:pStyle w:val="Compact"/>
        <w:numPr>
          <w:ilvl w:val="0"/>
          <w:numId w:val="1008"/>
        </w:numPr>
      </w:pPr>
      <w:r>
        <w:t xml:space="preserve">Decision support.</w:t>
      </w:r>
    </w:p>
    <w:p>
      <w:pPr>
        <w:pStyle w:val="Compact"/>
        <w:numPr>
          <w:ilvl w:val="0"/>
          <w:numId w:val="1008"/>
        </w:numPr>
      </w:pPr>
      <w:r>
        <w:t xml:space="preserve">Performance analytics.</w:t>
      </w:r>
    </w:p>
    <w:p>
      <w:pPr>
        <w:pStyle w:val="Compact"/>
        <w:numPr>
          <w:ilvl w:val="0"/>
          <w:numId w:val="1008"/>
        </w:numPr>
      </w:pPr>
      <w:r>
        <w:t xml:space="preserve">Resource optimization.</w:t>
      </w:r>
    </w:p>
    <w:p>
      <w:pPr>
        <w:pStyle w:val="FirstParagraph"/>
      </w:pPr>
      <w:r>
        <w:t xml:space="preserve">AI services operate within established governance, privacy, and security requirements.</w:t>
      </w:r>
    </w:p>
    <w:p>
      <w:r>
        <w:pict>
          <v:rect style="width:0;height:1.5pt" o:hralign="center" o:hrstd="t" o:hr="t"/>
        </w:pict>
      </w:r>
    </w:p>
    <w:bookmarkEnd w:id="40"/>
    <w:bookmarkStart w:id="47" w:name="functional-requirements"/>
    <w:p>
      <w:pPr>
        <w:pStyle w:val="Heading1"/>
      </w:pPr>
      <w:r>
        <w:t xml:space="preserve">14.9 Functional Requirements</w:t>
      </w:r>
    </w:p>
    <w:bookmarkStart w:id="41" w:name="fr-int-001"/>
    <w:p>
      <w:pPr>
        <w:pStyle w:val="Heading3"/>
      </w:pPr>
      <w:r>
        <w:t xml:space="preserve">FR-INT-001</w:t>
      </w:r>
    </w:p>
    <w:p>
      <w:pPr>
        <w:pStyle w:val="FirstParagraph"/>
      </w:pPr>
      <w:r>
        <w:t xml:space="preserve">Provide secure APIs for approved systems.</w:t>
      </w:r>
    </w:p>
    <w:p>
      <w:r>
        <w:pict>
          <v:rect style="width:0;height:1.5pt" o:hralign="center" o:hrstd="t" o:hr="t"/>
        </w:pict>
      </w:r>
    </w:p>
    <w:bookmarkEnd w:id="41"/>
    <w:bookmarkStart w:id="42" w:name="fr-int-002"/>
    <w:p>
      <w:pPr>
        <w:pStyle w:val="Heading3"/>
      </w:pPr>
      <w:r>
        <w:t xml:space="preserve">FR-INT-002</w:t>
      </w:r>
    </w:p>
    <w:p>
      <w:pPr>
        <w:pStyle w:val="FirstParagraph"/>
      </w:pPr>
      <w:r>
        <w:t xml:space="preserve">Support standardized information exchange.</w:t>
      </w:r>
    </w:p>
    <w:p>
      <w:r>
        <w:pict>
          <v:rect style="width:0;height:1.5pt" o:hralign="center" o:hrstd="t" o:hr="t"/>
        </w:pict>
      </w:r>
    </w:p>
    <w:bookmarkEnd w:id="42"/>
    <w:bookmarkStart w:id="43" w:name="fr-int-003"/>
    <w:p>
      <w:pPr>
        <w:pStyle w:val="Heading3"/>
      </w:pPr>
      <w:r>
        <w:t xml:space="preserve">FR-INT-003</w:t>
      </w:r>
    </w:p>
    <w:p>
      <w:pPr>
        <w:pStyle w:val="FirstParagraph"/>
      </w:pPr>
      <w:r>
        <w:t xml:space="preserve">Maintain master reference data.</w:t>
      </w:r>
    </w:p>
    <w:p>
      <w:r>
        <w:pict>
          <v:rect style="width:0;height:1.5pt" o:hralign="center" o:hrstd="t" o:hr="t"/>
        </w:pict>
      </w:r>
    </w:p>
    <w:bookmarkEnd w:id="43"/>
    <w:bookmarkStart w:id="44" w:name="fr-int-004"/>
    <w:p>
      <w:pPr>
        <w:pStyle w:val="Heading3"/>
      </w:pPr>
      <w:r>
        <w:t xml:space="preserve">FR-INT-004</w:t>
      </w:r>
    </w:p>
    <w:p>
      <w:pPr>
        <w:pStyle w:val="FirstParagraph"/>
      </w:pPr>
      <w:r>
        <w:t xml:space="preserve">Support offline synchronization.</w:t>
      </w:r>
    </w:p>
    <w:p>
      <w:r>
        <w:pict>
          <v:rect style="width:0;height:1.5pt" o:hralign="center" o:hrstd="t" o:hr="t"/>
        </w:pict>
      </w:r>
    </w:p>
    <w:bookmarkEnd w:id="44"/>
    <w:bookmarkStart w:id="45" w:name="fr-int-005"/>
    <w:p>
      <w:pPr>
        <w:pStyle w:val="Heading3"/>
      </w:pPr>
      <w:r>
        <w:t xml:space="preserve">FR-INT-005</w:t>
      </w:r>
    </w:p>
    <w:p>
      <w:pPr>
        <w:pStyle w:val="FirstParagraph"/>
      </w:pPr>
      <w:r>
        <w:t xml:space="preserve">Record comprehensive audit logs.</w:t>
      </w:r>
    </w:p>
    <w:p>
      <w:r>
        <w:pict>
          <v:rect style="width:0;height:1.5pt" o:hralign="center" o:hrstd="t" o:hr="t"/>
        </w:pict>
      </w:r>
    </w:p>
    <w:bookmarkEnd w:id="45"/>
    <w:bookmarkStart w:id="46" w:name="fr-int-006"/>
    <w:p>
      <w:pPr>
        <w:pStyle w:val="Heading3"/>
      </w:pPr>
      <w:r>
        <w:t xml:space="preserve">FR-INT-006</w:t>
      </w:r>
    </w:p>
    <w:p>
      <w:pPr>
        <w:pStyle w:val="FirstParagraph"/>
      </w:pPr>
      <w:r>
        <w:t xml:space="preserve">Provide monitoring and health reporting for interoperability services.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key-performance-indicators"/>
    <w:p>
      <w:pPr>
        <w:pStyle w:val="Heading1"/>
      </w:pPr>
      <w:r>
        <w:t xml:space="preserve">14.10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09"/>
        </w:numPr>
      </w:pPr>
      <w:r>
        <w:t xml:space="preserve">API availability.</w:t>
      </w:r>
    </w:p>
    <w:p>
      <w:pPr>
        <w:pStyle w:val="Compact"/>
        <w:numPr>
          <w:ilvl w:val="0"/>
          <w:numId w:val="1009"/>
        </w:numPr>
      </w:pPr>
      <w:r>
        <w:t xml:space="preserve">Synchronization success rate.</w:t>
      </w:r>
    </w:p>
    <w:p>
      <w:pPr>
        <w:pStyle w:val="Compact"/>
        <w:numPr>
          <w:ilvl w:val="0"/>
          <w:numId w:val="1009"/>
        </w:numPr>
      </w:pPr>
      <w:r>
        <w:t xml:space="preserve">Average synchronization latency.</w:t>
      </w:r>
    </w:p>
    <w:p>
      <w:pPr>
        <w:pStyle w:val="Compact"/>
        <w:numPr>
          <w:ilvl w:val="0"/>
          <w:numId w:val="1009"/>
        </w:numPr>
      </w:pPr>
      <w:r>
        <w:t xml:space="preserve">Data consistency rate.</w:t>
      </w:r>
    </w:p>
    <w:p>
      <w:pPr>
        <w:pStyle w:val="Compact"/>
        <w:numPr>
          <w:ilvl w:val="0"/>
          <w:numId w:val="1009"/>
        </w:numPr>
      </w:pPr>
      <w:r>
        <w:t xml:space="preserve">Number of successful system integrations.</w:t>
      </w:r>
    </w:p>
    <w:p>
      <w:pPr>
        <w:pStyle w:val="Compact"/>
        <w:numPr>
          <w:ilvl w:val="0"/>
          <w:numId w:val="1009"/>
        </w:numPr>
      </w:pPr>
      <w:r>
        <w:t xml:space="preserve">Audit completeness.</w:t>
      </w:r>
    </w:p>
    <w:p>
      <w:pPr>
        <w:pStyle w:val="Compact"/>
        <w:numPr>
          <w:ilvl w:val="0"/>
          <w:numId w:val="1009"/>
        </w:numPr>
      </w:pPr>
      <w:r>
        <w:t xml:space="preserve">Platform uptime.</w:t>
      </w:r>
    </w:p>
    <w:p>
      <w:pPr>
        <w:pStyle w:val="Compact"/>
        <w:numPr>
          <w:ilvl w:val="0"/>
          <w:numId w:val="1009"/>
        </w:numPr>
      </w:pPr>
      <w:r>
        <w:t xml:space="preserve">Master data quality.</w:t>
      </w:r>
    </w:p>
    <w:p>
      <w:r>
        <w:pict>
          <v:rect style="width:0;height:1.5pt" o:hralign="center" o:hrstd="t" o:hr="t"/>
        </w:pict>
      </w:r>
    </w:p>
    <w:bookmarkEnd w:id="48"/>
    <w:bookmarkStart w:id="49" w:name="expected-benefits"/>
    <w:p>
      <w:pPr>
        <w:pStyle w:val="Heading1"/>
      </w:pPr>
      <w:r>
        <w:t xml:space="preserve">14.11 Expected Benefits</w:t>
      </w:r>
    </w:p>
    <w:p>
      <w:pPr>
        <w:pStyle w:val="FirstParagraph"/>
      </w:pPr>
      <w:r>
        <w:t xml:space="preserve">The interoperability framework is expected to contribute to:</w:t>
      </w:r>
    </w:p>
    <w:p>
      <w:pPr>
        <w:pStyle w:val="Compact"/>
        <w:numPr>
          <w:ilvl w:val="0"/>
          <w:numId w:val="1010"/>
        </w:numPr>
      </w:pPr>
      <w:r>
        <w:t xml:space="preserve">Better coordination between information systems.</w:t>
      </w:r>
    </w:p>
    <w:p>
      <w:pPr>
        <w:pStyle w:val="Compact"/>
        <w:numPr>
          <w:ilvl w:val="0"/>
          <w:numId w:val="1010"/>
        </w:numPr>
      </w:pPr>
      <w:r>
        <w:t xml:space="preserve">Improved data quality.</w:t>
      </w:r>
    </w:p>
    <w:p>
      <w:pPr>
        <w:pStyle w:val="Compact"/>
        <w:numPr>
          <w:ilvl w:val="0"/>
          <w:numId w:val="1010"/>
        </w:numPr>
      </w:pPr>
      <w:r>
        <w:t xml:space="preserve">Reduced duplication.</w:t>
      </w:r>
    </w:p>
    <w:p>
      <w:pPr>
        <w:pStyle w:val="Compact"/>
        <w:numPr>
          <w:ilvl w:val="0"/>
          <w:numId w:val="1010"/>
        </w:numPr>
      </w:pPr>
      <w:r>
        <w:t xml:space="preserve">Faster reporting.</w:t>
      </w:r>
    </w:p>
    <w:p>
      <w:pPr>
        <w:pStyle w:val="Compact"/>
        <w:numPr>
          <w:ilvl w:val="0"/>
          <w:numId w:val="1010"/>
        </w:numPr>
      </w:pPr>
      <w:r>
        <w:t xml:space="preserve">Stronger digital governance.</w:t>
      </w:r>
    </w:p>
    <w:p>
      <w:pPr>
        <w:pStyle w:val="Compact"/>
        <w:numPr>
          <w:ilvl w:val="0"/>
          <w:numId w:val="1010"/>
        </w:numPr>
      </w:pPr>
      <w:r>
        <w:t xml:space="preserve">Greater flexibility for future expansion.</w:t>
      </w:r>
    </w:p>
    <w:p>
      <w:pPr>
        <w:pStyle w:val="Compact"/>
        <w:numPr>
          <w:ilvl w:val="0"/>
          <w:numId w:val="1010"/>
        </w:numPr>
      </w:pPr>
      <w:r>
        <w:t xml:space="preserve">Enhanced operational resilience.</w:t>
      </w:r>
    </w:p>
    <w:p>
      <w:pPr>
        <w:pStyle w:val="FirstParagraph"/>
      </w:pPr>
      <w:r>
        <w:t xml:space="preserve">These benefits depend upon effective governance, adherence to agreed standards, and sustained institutional collaboration.</w:t>
      </w:r>
    </w:p>
    <w:p>
      <w:r>
        <w:pict>
          <v:rect style="width:0;height:1.5pt" o:hralign="center" o:hrstd="t" o:hr="t"/>
        </w:pict>
      </w:r>
    </w:p>
    <w:bookmarkEnd w:id="49"/>
    <w:bookmarkStart w:id="50" w:name="chapter-summary"/>
    <w:p>
      <w:pPr>
        <w:pStyle w:val="Heading1"/>
      </w:pPr>
      <w:r>
        <w:t xml:space="preserve">14.12 Chapter Summary</w:t>
      </w:r>
    </w:p>
    <w:p>
      <w:pPr>
        <w:pStyle w:val="FirstParagraph"/>
      </w:pPr>
      <w:r>
        <w:t xml:space="preserve">The National Education Interoperability Framework establishes the digital foundation that enables EduOS Cameroon to operate as a connected ecosystem rather than a collection of isolated applications.</w:t>
      </w:r>
    </w:p>
    <w:p>
      <w:pPr>
        <w:pStyle w:val="BodyText"/>
      </w:pPr>
      <w:r>
        <w:t xml:space="preserve">By combining secure APIs, shared identity services, offline synchronization, master data management, and enterprise integration, the framework supports a modern digital public infrastructure capable of evolving alongside Cameroon’s education priorities.</w:t>
      </w:r>
    </w:p>
    <w:p>
      <w:pPr>
        <w:pStyle w:val="BodyText"/>
      </w:pPr>
      <w:r>
        <w:t xml:space="preserve">The next chapter introduces the</w:t>
      </w:r>
      <w:r>
        <w:t xml:space="preserve"> </w:t>
      </w:r>
      <w:r>
        <w:rPr>
          <w:b/>
          <w:bCs/>
        </w:rPr>
        <w:t xml:space="preserve">National Education Identity Framework</w:t>
      </w:r>
      <w:r>
        <w:t xml:space="preserve">, which defines how learners, teachers, schools, educational assets, textbooks, and administrative entities are uniquely identified and managed across the education ecosystem.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2026-07-10T14:20:13Z</dcterms:created>
  <dcterms:modified xsi:type="dcterms:W3CDTF">2026-07-10T14:20:13Z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