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3"/>
    <w:p>
      <w:pPr>
        <w:pStyle w:val="Heading1"/>
      </w:pPr>
      <w:r>
        <w:t xml:space="preserve">CHAPTER 13</w:t>
      </w:r>
    </w:p>
    <w:bookmarkEnd w:id="20"/>
    <w:bookmarkStart w:id="22" w:name="national-education-situation-room-nesr"/>
    <w:p>
      <w:pPr>
        <w:pStyle w:val="Heading1"/>
      </w:pPr>
      <w:r>
        <w:t xml:space="preserve">NATIONAL EDUCATION SITUATION ROOM (NESR)</w:t>
      </w:r>
    </w:p>
    <w:bookmarkStart w:id="21" w:name="introduction"/>
    <w:p>
      <w:pPr>
        <w:pStyle w:val="Heading2"/>
      </w:pPr>
      <w:r>
        <w:t xml:space="preserve">13.1 Introduction</w:t>
      </w:r>
    </w:p>
    <w:p>
      <w:pPr>
        <w:pStyle w:val="FirstParagraph"/>
      </w:pPr>
      <w:r>
        <w:t xml:space="preserve">Education systems must be prepared to continue operating under both normal and exceptional conditions.</w:t>
      </w:r>
    </w:p>
    <w:p>
      <w:pPr>
        <w:pStyle w:val="BodyText"/>
      </w:pPr>
      <w:r>
        <w:t xml:space="preserve">Schools may be affected by events such as floods, landslides, disease outbreaks, infrastructure failures, population displacement, major transport disruptions, or other emergencies that interrupt teaching and the delivery of educational resources.</w:t>
      </w:r>
    </w:p>
    <w:p>
      <w:pPr>
        <w:pStyle w:val="BodyText"/>
      </w:pPr>
      <w:r>
        <w:t xml:space="preserve">In these situations, education authorities require timely operational information, coordinated decision-making, and a structured approach to response and recovery.</w:t>
      </w:r>
    </w:p>
    <w:p>
      <w:pPr>
        <w:pStyle w:val="BodyText"/>
      </w:pPr>
      <w:r>
        <w:t xml:space="preserve">EduOS Cameroon introduces the</w:t>
      </w:r>
      <w:r>
        <w:t xml:space="preserve"> </w:t>
      </w:r>
      <w:r>
        <w:rPr>
          <w:b/>
          <w:bCs/>
        </w:rPr>
        <w:t xml:space="preserve">National Education Situation Room (NESR)</w:t>
      </w:r>
      <w:r>
        <w:t xml:space="preserve">—a specialized coordination environment activated during significant education-sector incidents. The Situation Room complements the National Education Command Centre and the National Education Operations Centre by focusing specifically on emergency coordination and continuity of education.</w:t>
      </w:r>
    </w:p>
    <w:p>
      <w:r>
        <w:pict>
          <v:rect style="width:0;height:1.5pt" o:hralign="center" o:hrstd="t" o:hr="t"/>
        </w:pict>
      </w:r>
    </w:p>
    <w:bookmarkEnd w:id="21"/>
    <w:bookmarkEnd w:id="22"/>
    <w:bookmarkStart w:id="23" w:name="vision"/>
    <w:p>
      <w:pPr>
        <w:pStyle w:val="Heading1"/>
      </w:pPr>
      <w:r>
        <w:t xml:space="preserve">13.2 Vision</w:t>
      </w:r>
    </w:p>
    <w:p>
      <w:pPr>
        <w:pStyle w:val="FirstParagraph"/>
      </w:pPr>
      <w:r>
        <w:t xml:space="preserve">To provide a centralized national capability for coordinating education-sector response, maintaining situational awareness, and supporting continuity of education during significant operational disruptions.</w:t>
      </w:r>
    </w:p>
    <w:p>
      <w:r>
        <w:pict>
          <v:rect style="width:0;height:1.5pt" o:hralign="center" o:hrstd="t" o:hr="t"/>
        </w:pict>
      </w:r>
    </w:p>
    <w:bookmarkEnd w:id="23"/>
    <w:bookmarkStart w:id="24" w:name="strategic-objectives"/>
    <w:p>
      <w:pPr>
        <w:pStyle w:val="Heading1"/>
      </w:pPr>
      <w:r>
        <w:t xml:space="preserve">13.3 Strategic Objectives</w:t>
      </w:r>
    </w:p>
    <w:p>
      <w:pPr>
        <w:pStyle w:val="FirstParagraph"/>
      </w:pPr>
      <w:r>
        <w:t xml:space="preserve">The Situation Room seeks to:</w:t>
      </w:r>
    </w:p>
    <w:p>
      <w:pPr>
        <w:pStyle w:val="Compact"/>
        <w:numPr>
          <w:ilvl w:val="0"/>
          <w:numId w:val="1001"/>
        </w:numPr>
      </w:pPr>
      <w:r>
        <w:t xml:space="preserve">Improve emergency coordination.</w:t>
      </w:r>
    </w:p>
    <w:p>
      <w:pPr>
        <w:pStyle w:val="Compact"/>
        <w:numPr>
          <w:ilvl w:val="0"/>
          <w:numId w:val="1001"/>
        </w:numPr>
      </w:pPr>
      <w:r>
        <w:t xml:space="preserve">Maintain operational awareness.</w:t>
      </w:r>
    </w:p>
    <w:p>
      <w:pPr>
        <w:pStyle w:val="Compact"/>
        <w:numPr>
          <w:ilvl w:val="0"/>
          <w:numId w:val="1001"/>
        </w:numPr>
      </w:pPr>
      <w:r>
        <w:t xml:space="preserve">Support continuity of education.</w:t>
      </w:r>
    </w:p>
    <w:p>
      <w:pPr>
        <w:pStyle w:val="Compact"/>
        <w:numPr>
          <w:ilvl w:val="0"/>
          <w:numId w:val="1001"/>
        </w:numPr>
      </w:pPr>
      <w:r>
        <w:t xml:space="preserve">Coordinate inter-agency information sharing.</w:t>
      </w:r>
    </w:p>
    <w:p>
      <w:pPr>
        <w:pStyle w:val="Compact"/>
        <w:numPr>
          <w:ilvl w:val="0"/>
          <w:numId w:val="1001"/>
        </w:numPr>
      </w:pPr>
      <w:r>
        <w:t xml:space="preserve">Improve resource mobilization.</w:t>
      </w:r>
    </w:p>
    <w:p>
      <w:pPr>
        <w:pStyle w:val="Compact"/>
        <w:numPr>
          <w:ilvl w:val="0"/>
          <w:numId w:val="1001"/>
        </w:numPr>
      </w:pPr>
      <w:r>
        <w:t xml:space="preserve">Accelerate response and recovery.</w:t>
      </w:r>
    </w:p>
    <w:p>
      <w:pPr>
        <w:pStyle w:val="Compact"/>
        <w:numPr>
          <w:ilvl w:val="0"/>
          <w:numId w:val="1001"/>
        </w:numPr>
      </w:pPr>
      <w:r>
        <w:t xml:space="preserve">Strengthen resilience.</w:t>
      </w:r>
    </w:p>
    <w:p>
      <w:pPr>
        <w:pStyle w:val="Compact"/>
        <w:numPr>
          <w:ilvl w:val="0"/>
          <w:numId w:val="1001"/>
        </w:numPr>
      </w:pPr>
      <w:r>
        <w:t xml:space="preserve">Document lessons learned.</w:t>
      </w:r>
    </w:p>
    <w:p>
      <w:r>
        <w:pict>
          <v:rect style="width:0;height:1.5pt" o:hralign="center" o:hrstd="t" o:hr="t"/>
        </w:pict>
      </w:r>
    </w:p>
    <w:bookmarkEnd w:id="24"/>
    <w:bookmarkStart w:id="30" w:name="activation-scenarios"/>
    <w:p>
      <w:pPr>
        <w:pStyle w:val="Heading1"/>
      </w:pPr>
      <w:r>
        <w:t xml:space="preserve">13.4 Activation Scenarios</w:t>
      </w:r>
    </w:p>
    <w:p>
      <w:pPr>
        <w:pStyle w:val="FirstParagraph"/>
      </w:pPr>
      <w:r>
        <w:t xml:space="preserve">The Situation Room may be activated for events including:</w:t>
      </w:r>
    </w:p>
    <w:bookmarkStart w:id="25" w:name="natural-hazards"/>
    <w:p>
      <w:pPr>
        <w:pStyle w:val="Heading3"/>
      </w:pPr>
      <w:r>
        <w:t xml:space="preserve">Natural Hazards</w:t>
      </w:r>
    </w:p>
    <w:p>
      <w:pPr>
        <w:pStyle w:val="Compact"/>
        <w:numPr>
          <w:ilvl w:val="0"/>
          <w:numId w:val="1002"/>
        </w:numPr>
      </w:pPr>
      <w:r>
        <w:t xml:space="preserve">Flooding.</w:t>
      </w:r>
    </w:p>
    <w:p>
      <w:pPr>
        <w:pStyle w:val="Compact"/>
        <w:numPr>
          <w:ilvl w:val="0"/>
          <w:numId w:val="1002"/>
        </w:numPr>
      </w:pPr>
      <w:r>
        <w:t xml:space="preserve">Landslides.</w:t>
      </w:r>
    </w:p>
    <w:p>
      <w:pPr>
        <w:pStyle w:val="Compact"/>
        <w:numPr>
          <w:ilvl w:val="0"/>
          <w:numId w:val="1002"/>
        </w:numPr>
      </w:pPr>
      <w:r>
        <w:t xml:space="preserve">Severe storms.</w:t>
      </w:r>
    </w:p>
    <w:p>
      <w:pPr>
        <w:pStyle w:val="Compact"/>
        <w:numPr>
          <w:ilvl w:val="0"/>
          <w:numId w:val="1002"/>
        </w:numPr>
      </w:pPr>
      <w:r>
        <w:t xml:space="preserve">Earthquakes (where applicable).</w:t>
      </w:r>
    </w:p>
    <w:p>
      <w:r>
        <w:pict>
          <v:rect style="width:0;height:1.5pt" o:hralign="center" o:hrstd="t" o:hr="t"/>
        </w:pict>
      </w:r>
    </w:p>
    <w:bookmarkEnd w:id="25"/>
    <w:bookmarkStart w:id="26" w:name="public-health-events"/>
    <w:p>
      <w:pPr>
        <w:pStyle w:val="Heading3"/>
      </w:pPr>
      <w:r>
        <w:t xml:space="preserve">Public Health Events</w:t>
      </w:r>
    </w:p>
    <w:p>
      <w:pPr>
        <w:pStyle w:val="Compact"/>
        <w:numPr>
          <w:ilvl w:val="0"/>
          <w:numId w:val="1003"/>
        </w:numPr>
      </w:pPr>
      <w:r>
        <w:t xml:space="preserve">Disease outbreaks.</w:t>
      </w:r>
    </w:p>
    <w:p>
      <w:pPr>
        <w:pStyle w:val="Compact"/>
        <w:numPr>
          <w:ilvl w:val="0"/>
          <w:numId w:val="1003"/>
        </w:numPr>
      </w:pPr>
      <w:r>
        <w:t xml:space="preserve">Public health emergencies affecting school operations.</w:t>
      </w:r>
    </w:p>
    <w:p>
      <w:r>
        <w:pict>
          <v:rect style="width:0;height:1.5pt" o:hralign="center" o:hrstd="t" o:hr="t"/>
        </w:pict>
      </w:r>
    </w:p>
    <w:bookmarkEnd w:id="26"/>
    <w:bookmarkStart w:id="27" w:name="infrastructure-disruptions"/>
    <w:p>
      <w:pPr>
        <w:pStyle w:val="Heading3"/>
      </w:pPr>
      <w:r>
        <w:t xml:space="preserve">Infrastructure Disruptions</w:t>
      </w:r>
    </w:p>
    <w:p>
      <w:pPr>
        <w:pStyle w:val="Compact"/>
        <w:numPr>
          <w:ilvl w:val="0"/>
          <w:numId w:val="1004"/>
        </w:numPr>
      </w:pPr>
      <w:r>
        <w:t xml:space="preserve">Damage to school buildings.</w:t>
      </w:r>
    </w:p>
    <w:p>
      <w:pPr>
        <w:pStyle w:val="Compact"/>
        <w:numPr>
          <w:ilvl w:val="0"/>
          <w:numId w:val="1004"/>
        </w:numPr>
      </w:pPr>
      <w:r>
        <w:t xml:space="preserve">Major electricity failures.</w:t>
      </w:r>
    </w:p>
    <w:p>
      <w:pPr>
        <w:pStyle w:val="Compact"/>
        <w:numPr>
          <w:ilvl w:val="0"/>
          <w:numId w:val="1004"/>
        </w:numPr>
      </w:pPr>
      <w:r>
        <w:t xml:space="preserve">Water supply interruptions.</w:t>
      </w:r>
    </w:p>
    <w:p>
      <w:pPr>
        <w:pStyle w:val="Compact"/>
        <w:numPr>
          <w:ilvl w:val="0"/>
          <w:numId w:val="1004"/>
        </w:numPr>
      </w:pPr>
      <w:r>
        <w:t xml:space="preserve">ICT infrastructure failures affecting education services.</w:t>
      </w:r>
    </w:p>
    <w:p>
      <w:r>
        <w:pict>
          <v:rect style="width:0;height:1.5pt" o:hralign="center" o:hrstd="t" o:hr="t"/>
        </w:pict>
      </w:r>
    </w:p>
    <w:bookmarkEnd w:id="27"/>
    <w:bookmarkStart w:id="28" w:name="supply-chain-disruptions"/>
    <w:p>
      <w:pPr>
        <w:pStyle w:val="Heading3"/>
      </w:pPr>
      <w:r>
        <w:t xml:space="preserve">Supply Chain Disruptions</w:t>
      </w:r>
    </w:p>
    <w:p>
      <w:pPr>
        <w:pStyle w:val="Compact"/>
        <w:numPr>
          <w:ilvl w:val="0"/>
          <w:numId w:val="1005"/>
        </w:numPr>
      </w:pPr>
      <w:r>
        <w:t xml:space="preserve">Delayed textbook deliveries.</w:t>
      </w:r>
    </w:p>
    <w:p>
      <w:pPr>
        <w:pStyle w:val="Compact"/>
        <w:numPr>
          <w:ilvl w:val="0"/>
          <w:numId w:val="1005"/>
        </w:numPr>
      </w:pPr>
      <w:r>
        <w:t xml:space="preserve">Warehouse incidents.</w:t>
      </w:r>
    </w:p>
    <w:p>
      <w:pPr>
        <w:pStyle w:val="Compact"/>
        <w:numPr>
          <w:ilvl w:val="0"/>
          <w:numId w:val="1005"/>
        </w:numPr>
      </w:pPr>
      <w:r>
        <w:t xml:space="preserve">Major transportation interruptions.</w:t>
      </w:r>
    </w:p>
    <w:p>
      <w:pPr>
        <w:pStyle w:val="Compact"/>
        <w:numPr>
          <w:ilvl w:val="0"/>
          <w:numId w:val="1005"/>
        </w:numPr>
      </w:pPr>
      <w:r>
        <w:t xml:space="preserve">Critical shortages of educational resources.</w:t>
      </w:r>
    </w:p>
    <w:p>
      <w:r>
        <w:pict>
          <v:rect style="width:0;height:1.5pt" o:hralign="center" o:hrstd="t" o:hr="t"/>
        </w:pict>
      </w:r>
    </w:p>
    <w:bookmarkEnd w:id="28"/>
    <w:bookmarkStart w:id="29" w:name="humanitarian-contexts"/>
    <w:p>
      <w:pPr>
        <w:pStyle w:val="Heading3"/>
      </w:pPr>
      <w:r>
        <w:t xml:space="preserve">Humanitarian Contexts</w:t>
      </w:r>
    </w:p>
    <w:p>
      <w:pPr>
        <w:pStyle w:val="Compact"/>
        <w:numPr>
          <w:ilvl w:val="0"/>
          <w:numId w:val="1006"/>
        </w:numPr>
      </w:pPr>
      <w:r>
        <w:t xml:space="preserve">Population displacement.</w:t>
      </w:r>
    </w:p>
    <w:p>
      <w:pPr>
        <w:pStyle w:val="Compact"/>
        <w:numPr>
          <w:ilvl w:val="0"/>
          <w:numId w:val="1006"/>
        </w:numPr>
      </w:pPr>
      <w:r>
        <w:t xml:space="preserve">Temporary learning centres.</w:t>
      </w:r>
    </w:p>
    <w:p>
      <w:pPr>
        <w:pStyle w:val="Compact"/>
        <w:numPr>
          <w:ilvl w:val="0"/>
          <w:numId w:val="1006"/>
        </w:numPr>
      </w:pPr>
      <w:r>
        <w:t xml:space="preserve">Rapid resource reallocation.</w:t>
      </w:r>
    </w:p>
    <w:p>
      <w:pPr>
        <w:pStyle w:val="Compact"/>
        <w:numPr>
          <w:ilvl w:val="0"/>
          <w:numId w:val="1006"/>
        </w:numPr>
      </w:pPr>
      <w:r>
        <w:t xml:space="preserve">Education continuity support.</w:t>
      </w:r>
    </w:p>
    <w:p>
      <w:r>
        <w:pict>
          <v:rect style="width:0;height:1.5pt" o:hralign="center" o:hrstd="t" o:hr="t"/>
        </w:pict>
      </w:r>
    </w:p>
    <w:bookmarkEnd w:id="29"/>
    <w:bookmarkEnd w:id="30"/>
    <w:bookmarkStart w:id="35" w:name="situation-room-dashboard"/>
    <w:p>
      <w:pPr>
        <w:pStyle w:val="Heading1"/>
      </w:pPr>
      <w:r>
        <w:t xml:space="preserve">13.5 Situation Room Dashboard</w:t>
      </w:r>
    </w:p>
    <w:p>
      <w:pPr>
        <w:pStyle w:val="FirstParagraph"/>
      </w:pPr>
      <w:r>
        <w:t xml:space="preserve">The dashboard provides an integrated operational picture including:</w:t>
      </w:r>
    </w:p>
    <w:bookmarkStart w:id="31" w:name="incident-overview"/>
    <w:p>
      <w:pPr>
        <w:pStyle w:val="Heading3"/>
      </w:pPr>
      <w:r>
        <w:t xml:space="preserve">Incident Overview</w:t>
      </w:r>
    </w:p>
    <w:p>
      <w:pPr>
        <w:pStyle w:val="Compact"/>
        <w:numPr>
          <w:ilvl w:val="0"/>
          <w:numId w:val="1007"/>
        </w:numPr>
      </w:pPr>
      <w:r>
        <w:t xml:space="preserve">Active incidents.</w:t>
      </w:r>
    </w:p>
    <w:p>
      <w:pPr>
        <w:pStyle w:val="Compact"/>
        <w:numPr>
          <w:ilvl w:val="0"/>
          <w:numId w:val="1007"/>
        </w:numPr>
      </w:pPr>
      <w:r>
        <w:t xml:space="preserve">Incident severity.</w:t>
      </w:r>
    </w:p>
    <w:p>
      <w:pPr>
        <w:pStyle w:val="Compact"/>
        <w:numPr>
          <w:ilvl w:val="0"/>
          <w:numId w:val="1007"/>
        </w:numPr>
      </w:pPr>
      <w:r>
        <w:t xml:space="preserve">Geographic distribution.</w:t>
      </w:r>
    </w:p>
    <w:p>
      <w:pPr>
        <w:pStyle w:val="Compact"/>
        <w:numPr>
          <w:ilvl w:val="0"/>
          <w:numId w:val="1007"/>
        </w:numPr>
      </w:pPr>
      <w:r>
        <w:t xml:space="preserve">Schools affected.</w:t>
      </w:r>
    </w:p>
    <w:p>
      <w:pPr>
        <w:pStyle w:val="Compact"/>
        <w:numPr>
          <w:ilvl w:val="0"/>
          <w:numId w:val="1007"/>
        </w:numPr>
      </w:pPr>
      <w:r>
        <w:t xml:space="preserve">Learners affected.</w:t>
      </w:r>
    </w:p>
    <w:p>
      <w:pPr>
        <w:pStyle w:val="Compact"/>
        <w:numPr>
          <w:ilvl w:val="0"/>
          <w:numId w:val="1007"/>
        </w:numPr>
      </w:pPr>
      <w:r>
        <w:t xml:space="preserve">Staff affected.</w:t>
      </w:r>
    </w:p>
    <w:p>
      <w:r>
        <w:pict>
          <v:rect style="width:0;height:1.5pt" o:hralign="center" o:hrstd="t" o:hr="t"/>
        </w:pict>
      </w:r>
    </w:p>
    <w:bookmarkEnd w:id="31"/>
    <w:bookmarkStart w:id="32" w:name="resource-status"/>
    <w:p>
      <w:pPr>
        <w:pStyle w:val="Heading3"/>
      </w:pPr>
      <w:r>
        <w:t xml:space="preserve">Resource Status</w:t>
      </w:r>
    </w:p>
    <w:p>
      <w:pPr>
        <w:pStyle w:val="Compact"/>
        <w:numPr>
          <w:ilvl w:val="0"/>
          <w:numId w:val="1008"/>
        </w:numPr>
      </w:pPr>
      <w:r>
        <w:t xml:space="preserve">Available textbook stocks.</w:t>
      </w:r>
    </w:p>
    <w:p>
      <w:pPr>
        <w:pStyle w:val="Compact"/>
        <w:numPr>
          <w:ilvl w:val="0"/>
          <w:numId w:val="1008"/>
        </w:numPr>
      </w:pPr>
      <w:r>
        <w:t xml:space="preserve">Emergency inventory.</w:t>
      </w:r>
    </w:p>
    <w:p>
      <w:pPr>
        <w:pStyle w:val="Compact"/>
        <w:numPr>
          <w:ilvl w:val="0"/>
          <w:numId w:val="1008"/>
        </w:numPr>
      </w:pPr>
      <w:r>
        <w:t xml:space="preserve">Transport capacity.</w:t>
      </w:r>
    </w:p>
    <w:p>
      <w:pPr>
        <w:pStyle w:val="Compact"/>
        <w:numPr>
          <w:ilvl w:val="0"/>
          <w:numId w:val="1008"/>
        </w:numPr>
      </w:pPr>
      <w:r>
        <w:t xml:space="preserve">Available response teams.</w:t>
      </w:r>
    </w:p>
    <w:p>
      <w:r>
        <w:pict>
          <v:rect style="width:0;height:1.5pt" o:hralign="center" o:hrstd="t" o:hr="t"/>
        </w:pict>
      </w:r>
    </w:p>
    <w:bookmarkEnd w:id="32"/>
    <w:bookmarkStart w:id="33" w:name="infrastructure-status"/>
    <w:p>
      <w:pPr>
        <w:pStyle w:val="Heading3"/>
      </w:pPr>
      <w:r>
        <w:t xml:space="preserve">Infrastructure Status</w:t>
      </w:r>
    </w:p>
    <w:p>
      <w:pPr>
        <w:pStyle w:val="Compact"/>
        <w:numPr>
          <w:ilvl w:val="0"/>
          <w:numId w:val="1009"/>
        </w:numPr>
      </w:pPr>
      <w:r>
        <w:t xml:space="preserve">School accessibility.</w:t>
      </w:r>
    </w:p>
    <w:p>
      <w:pPr>
        <w:pStyle w:val="Compact"/>
        <w:numPr>
          <w:ilvl w:val="0"/>
          <w:numId w:val="1009"/>
        </w:numPr>
      </w:pPr>
      <w:r>
        <w:t xml:space="preserve">Building condition reports.</w:t>
      </w:r>
    </w:p>
    <w:p>
      <w:pPr>
        <w:pStyle w:val="Compact"/>
        <w:numPr>
          <w:ilvl w:val="0"/>
          <w:numId w:val="1009"/>
        </w:numPr>
      </w:pPr>
      <w:r>
        <w:t xml:space="preserve">Utilities status.</w:t>
      </w:r>
    </w:p>
    <w:p>
      <w:pPr>
        <w:pStyle w:val="Compact"/>
        <w:numPr>
          <w:ilvl w:val="0"/>
          <w:numId w:val="1009"/>
        </w:numPr>
      </w:pPr>
      <w:r>
        <w:t xml:space="preserve">Communication availability.</w:t>
      </w:r>
    </w:p>
    <w:p>
      <w:r>
        <w:pict>
          <v:rect style="width:0;height:1.5pt" o:hralign="center" o:hrstd="t" o:hr="t"/>
        </w:pict>
      </w:r>
    </w:p>
    <w:bookmarkEnd w:id="33"/>
    <w:bookmarkStart w:id="34" w:name="recovery-progress"/>
    <w:p>
      <w:pPr>
        <w:pStyle w:val="Heading3"/>
      </w:pPr>
      <w:r>
        <w:t xml:space="preserve">Recovery Progress</w:t>
      </w:r>
    </w:p>
    <w:p>
      <w:pPr>
        <w:pStyle w:val="Compact"/>
        <w:numPr>
          <w:ilvl w:val="0"/>
          <w:numId w:val="1010"/>
        </w:numPr>
      </w:pPr>
      <w:r>
        <w:t xml:space="preserve">Schools reopened.</w:t>
      </w:r>
    </w:p>
    <w:p>
      <w:pPr>
        <w:pStyle w:val="Compact"/>
        <w:numPr>
          <w:ilvl w:val="0"/>
          <w:numId w:val="1010"/>
        </w:numPr>
      </w:pPr>
      <w:r>
        <w:t xml:space="preserve">Resources redistributed.</w:t>
      </w:r>
    </w:p>
    <w:p>
      <w:pPr>
        <w:pStyle w:val="Compact"/>
        <w:numPr>
          <w:ilvl w:val="0"/>
          <w:numId w:val="1010"/>
        </w:numPr>
      </w:pPr>
      <w:r>
        <w:t xml:space="preserve">Temporary learning arrangements.</w:t>
      </w:r>
    </w:p>
    <w:p>
      <w:pPr>
        <w:pStyle w:val="Compact"/>
        <w:numPr>
          <w:ilvl w:val="0"/>
          <w:numId w:val="1010"/>
        </w:numPr>
      </w:pPr>
      <w:r>
        <w:t xml:space="preserve">Outstanding recovery actions.</w:t>
      </w:r>
    </w:p>
    <w:p>
      <w:r>
        <w:pict>
          <v:rect style="width:0;height:1.5pt" o:hralign="center" o:hrstd="t" o:hr="t"/>
        </w:pict>
      </w:r>
    </w:p>
    <w:bookmarkEnd w:id="34"/>
    <w:bookmarkEnd w:id="35"/>
    <w:bookmarkStart w:id="36" w:name="emergency-coordination-workflow"/>
    <w:p>
      <w:pPr>
        <w:pStyle w:val="Heading1"/>
      </w:pPr>
      <w:r>
        <w:t xml:space="preserve">13.6 Emergency Coordination Workflow</w:t>
      </w:r>
    </w:p>
    <w:p>
      <w:pPr>
        <w:pStyle w:val="FirstParagraph"/>
      </w:pPr>
      <w:r>
        <w:rPr>
          <w:rStyle w:val="VerbatimChar"/>
        </w:rPr>
        <w:t xml:space="preserve">text id="nesr001" Incident Reported         │         ▼ Initial Assessment         │         ▼ Situation Room Activation         │         ▼ Information Consolidation         │         ▼ Operational Coordination         │         ▼ Resource Deployment         │         ▼ Progress Monitoring         │         ▼ Recovery Planning         │         ▼ After-Action Review</w:t>
      </w:r>
    </w:p>
    <w:p>
      <w:pPr>
        <w:pStyle w:val="BodyText"/>
      </w:pPr>
      <w:r>
        <w:t xml:space="preserve">This workflow provides a structured process from incident notification through recovery and institutional learning.</w:t>
      </w:r>
    </w:p>
    <w:p>
      <w:r>
        <w:pict>
          <v:rect style="width:0;height:1.5pt" o:hralign="center" o:hrstd="t" o:hr="t"/>
        </w:pict>
      </w:r>
    </w:p>
    <w:bookmarkEnd w:id="36"/>
    <w:bookmarkStart w:id="37" w:name="decision-support"/>
    <w:p>
      <w:pPr>
        <w:pStyle w:val="Heading1"/>
      </w:pPr>
      <w:r>
        <w:t xml:space="preserve">13.7 Decision Support</w:t>
      </w:r>
    </w:p>
    <w:p>
      <w:pPr>
        <w:pStyle w:val="FirstParagraph"/>
      </w:pPr>
      <w:r>
        <w:t xml:space="preserve">The Situation Room supports decision-makers by providing:</w:t>
      </w:r>
    </w:p>
    <w:p>
      <w:pPr>
        <w:pStyle w:val="Compact"/>
        <w:numPr>
          <w:ilvl w:val="0"/>
          <w:numId w:val="1011"/>
        </w:numPr>
      </w:pPr>
      <w:r>
        <w:t xml:space="preserve">Consolidated operational information.</w:t>
      </w:r>
    </w:p>
    <w:p>
      <w:pPr>
        <w:pStyle w:val="Compact"/>
        <w:numPr>
          <w:ilvl w:val="0"/>
          <w:numId w:val="1011"/>
        </w:numPr>
      </w:pPr>
      <w:r>
        <w:t xml:space="preserve">Geographic visualization of affected areas.</w:t>
      </w:r>
    </w:p>
    <w:p>
      <w:pPr>
        <w:pStyle w:val="Compact"/>
        <w:numPr>
          <w:ilvl w:val="0"/>
          <w:numId w:val="1011"/>
        </w:numPr>
      </w:pPr>
      <w:r>
        <w:t xml:space="preserve">Resource availability summaries.</w:t>
      </w:r>
    </w:p>
    <w:p>
      <w:pPr>
        <w:pStyle w:val="Compact"/>
        <w:numPr>
          <w:ilvl w:val="0"/>
          <w:numId w:val="1011"/>
        </w:numPr>
      </w:pPr>
      <w:r>
        <w:t xml:space="preserve">Recovery priorities.</w:t>
      </w:r>
    </w:p>
    <w:p>
      <w:pPr>
        <w:pStyle w:val="Compact"/>
        <w:numPr>
          <w:ilvl w:val="0"/>
          <w:numId w:val="1011"/>
        </w:numPr>
      </w:pPr>
      <w:r>
        <w:t xml:space="preserve">Status of ongoing response activities.</w:t>
      </w:r>
    </w:p>
    <w:p>
      <w:pPr>
        <w:pStyle w:val="Compact"/>
        <w:numPr>
          <w:ilvl w:val="0"/>
          <w:numId w:val="1011"/>
        </w:numPr>
      </w:pPr>
      <w:r>
        <w:t xml:space="preserve">Historical incident comparisons.</w:t>
      </w:r>
    </w:p>
    <w:p>
      <w:r>
        <w:pict>
          <v:rect style="width:0;height:1.5pt" o:hralign="center" o:hrstd="t" o:hr="t"/>
        </w:pict>
      </w:r>
    </w:p>
    <w:bookmarkEnd w:id="37"/>
    <w:bookmarkStart w:id="38" w:name="artificial-intelligence-opportunities"/>
    <w:p>
      <w:pPr>
        <w:pStyle w:val="Heading1"/>
      </w:pPr>
      <w:r>
        <w:t xml:space="preserve">13.8 Artificial Intelligence Opportunities</w:t>
      </w:r>
    </w:p>
    <w:p>
      <w:pPr>
        <w:pStyle w:val="FirstParagraph"/>
      </w:pPr>
      <w:r>
        <w:t xml:space="preserve">The AI Framework supports emergency coordination by:</w:t>
      </w:r>
    </w:p>
    <w:p>
      <w:pPr>
        <w:pStyle w:val="Compact"/>
        <w:numPr>
          <w:ilvl w:val="0"/>
          <w:numId w:val="1012"/>
        </w:numPr>
      </w:pPr>
      <w:r>
        <w:t xml:space="preserve">Highlighting areas with the greatest operational impact.</w:t>
      </w:r>
    </w:p>
    <w:p>
      <w:pPr>
        <w:pStyle w:val="Compact"/>
        <w:numPr>
          <w:ilvl w:val="0"/>
          <w:numId w:val="1012"/>
        </w:numPr>
      </w:pPr>
      <w:r>
        <w:t xml:space="preserve">Forecasting resource requirements based on available information.</w:t>
      </w:r>
    </w:p>
    <w:p>
      <w:pPr>
        <w:pStyle w:val="Compact"/>
        <w:numPr>
          <w:ilvl w:val="0"/>
          <w:numId w:val="1012"/>
        </w:numPr>
      </w:pPr>
      <w:r>
        <w:t xml:space="preserve">Identifying schools that may require priority assistance.</w:t>
      </w:r>
    </w:p>
    <w:p>
      <w:pPr>
        <w:pStyle w:val="Compact"/>
        <w:numPr>
          <w:ilvl w:val="0"/>
          <w:numId w:val="1012"/>
        </w:numPr>
      </w:pPr>
      <w:r>
        <w:t xml:space="preserve">Summarizing incoming field reports.</w:t>
      </w:r>
    </w:p>
    <w:p>
      <w:pPr>
        <w:pStyle w:val="Compact"/>
        <w:numPr>
          <w:ilvl w:val="0"/>
          <w:numId w:val="1012"/>
        </w:numPr>
      </w:pPr>
      <w:r>
        <w:t xml:space="preserve">Detecting emerging trends requiring management attention.</w:t>
      </w:r>
    </w:p>
    <w:p>
      <w:pPr>
        <w:pStyle w:val="FirstParagraph"/>
      </w:pPr>
      <w:r>
        <w:t xml:space="preserve">AI outputs are advisory and support—not replace—human decision-making.</w:t>
      </w:r>
    </w:p>
    <w:p>
      <w:r>
        <w:pict>
          <v:rect style="width:0;height:1.5pt" o:hralign="center" o:hrstd="t" o:hr="t"/>
        </w:pict>
      </w:r>
    </w:p>
    <w:bookmarkEnd w:id="38"/>
    <w:bookmarkStart w:id="39" w:name="offline-resilience"/>
    <w:p>
      <w:pPr>
        <w:pStyle w:val="Heading1"/>
      </w:pPr>
      <w:r>
        <w:t xml:space="preserve">13.9 Offline Resilience</w:t>
      </w:r>
    </w:p>
    <w:p>
      <w:pPr>
        <w:pStyle w:val="FirstParagraph"/>
      </w:pPr>
      <w:r>
        <w:t xml:space="preserve">During disruptions, field teams may continue to:</w:t>
      </w:r>
    </w:p>
    <w:p>
      <w:pPr>
        <w:pStyle w:val="Compact"/>
        <w:numPr>
          <w:ilvl w:val="0"/>
          <w:numId w:val="1013"/>
        </w:numPr>
      </w:pPr>
      <w:r>
        <w:t xml:space="preserve">Record assessments.</w:t>
      </w:r>
    </w:p>
    <w:p>
      <w:pPr>
        <w:pStyle w:val="Compact"/>
        <w:numPr>
          <w:ilvl w:val="0"/>
          <w:numId w:val="1013"/>
        </w:numPr>
      </w:pPr>
      <w:r>
        <w:t xml:space="preserve">Capture photographs.</w:t>
      </w:r>
    </w:p>
    <w:p>
      <w:pPr>
        <w:pStyle w:val="Compact"/>
        <w:numPr>
          <w:ilvl w:val="0"/>
          <w:numId w:val="1013"/>
        </w:numPr>
      </w:pPr>
      <w:r>
        <w:t xml:space="preserve">Register infrastructure damage.</w:t>
      </w:r>
    </w:p>
    <w:p>
      <w:pPr>
        <w:pStyle w:val="Compact"/>
        <w:numPr>
          <w:ilvl w:val="0"/>
          <w:numId w:val="1013"/>
        </w:numPr>
      </w:pPr>
      <w:r>
        <w:t xml:space="preserve">Report textbook and asset losses.</w:t>
      </w:r>
    </w:p>
    <w:p>
      <w:pPr>
        <w:pStyle w:val="Compact"/>
        <w:numPr>
          <w:ilvl w:val="0"/>
          <w:numId w:val="1013"/>
        </w:numPr>
      </w:pPr>
      <w:r>
        <w:t xml:space="preserve">Document school operational status.</w:t>
      </w:r>
    </w:p>
    <w:p>
      <w:pPr>
        <w:pStyle w:val="FirstParagraph"/>
      </w:pPr>
      <w:r>
        <w:t xml:space="preserve">Information is synchronized automatically once reliable connectivity becomes available.</w:t>
      </w:r>
    </w:p>
    <w:p>
      <w:r>
        <w:pict>
          <v:rect style="width:0;height:1.5pt" o:hralign="center" o:hrstd="t" o:hr="t"/>
        </w:pict>
      </w:r>
    </w:p>
    <w:bookmarkEnd w:id="39"/>
    <w:bookmarkStart w:id="46" w:name="functional-requirements"/>
    <w:p>
      <w:pPr>
        <w:pStyle w:val="Heading1"/>
      </w:pPr>
      <w:r>
        <w:t xml:space="preserve">13.10 Functional Requirements</w:t>
      </w:r>
    </w:p>
    <w:bookmarkStart w:id="40" w:name="fr-nesr-001"/>
    <w:p>
      <w:pPr>
        <w:pStyle w:val="Heading3"/>
      </w:pPr>
      <w:r>
        <w:t xml:space="preserve">FR-NESR-001</w:t>
      </w:r>
    </w:p>
    <w:p>
      <w:pPr>
        <w:pStyle w:val="FirstParagraph"/>
      </w:pPr>
      <w:r>
        <w:t xml:space="preserve">Support activation of the National Education Situation Room.</w:t>
      </w:r>
    </w:p>
    <w:p>
      <w:r>
        <w:pict>
          <v:rect style="width:0;height:1.5pt" o:hralign="center" o:hrstd="t" o:hr="t"/>
        </w:pict>
      </w:r>
    </w:p>
    <w:bookmarkEnd w:id="40"/>
    <w:bookmarkStart w:id="41" w:name="fr-nesr-002"/>
    <w:p>
      <w:pPr>
        <w:pStyle w:val="Heading3"/>
      </w:pPr>
      <w:r>
        <w:t xml:space="preserve">FR-NESR-002</w:t>
      </w:r>
    </w:p>
    <w:p>
      <w:pPr>
        <w:pStyle w:val="FirstParagraph"/>
      </w:pPr>
      <w:r>
        <w:t xml:space="preserve">Maintain a national incident register.</w:t>
      </w:r>
    </w:p>
    <w:p>
      <w:r>
        <w:pict>
          <v:rect style="width:0;height:1.5pt" o:hralign="center" o:hrstd="t" o:hr="t"/>
        </w:pict>
      </w:r>
    </w:p>
    <w:bookmarkEnd w:id="41"/>
    <w:bookmarkStart w:id="42" w:name="fr-nesr-003"/>
    <w:p>
      <w:pPr>
        <w:pStyle w:val="Heading3"/>
      </w:pPr>
      <w:r>
        <w:t xml:space="preserve">FR-NESR-003</w:t>
      </w:r>
    </w:p>
    <w:p>
      <w:pPr>
        <w:pStyle w:val="FirstParagraph"/>
      </w:pPr>
      <w:r>
        <w:t xml:space="preserve">Provide emergency operational dashboards.</w:t>
      </w:r>
    </w:p>
    <w:p>
      <w:r>
        <w:pict>
          <v:rect style="width:0;height:1.5pt" o:hralign="center" o:hrstd="t" o:hr="t"/>
        </w:pict>
      </w:r>
    </w:p>
    <w:bookmarkEnd w:id="42"/>
    <w:bookmarkStart w:id="43" w:name="fr-nesr-004"/>
    <w:p>
      <w:pPr>
        <w:pStyle w:val="Heading3"/>
      </w:pPr>
      <w:r>
        <w:t xml:space="preserve">FR-NESR-004</w:t>
      </w:r>
    </w:p>
    <w:p>
      <w:pPr>
        <w:pStyle w:val="FirstParagraph"/>
      </w:pPr>
      <w:r>
        <w:t xml:space="preserve">Coordinate response tasks and recovery actions.</w:t>
      </w:r>
    </w:p>
    <w:p>
      <w:r>
        <w:pict>
          <v:rect style="width:0;height:1.5pt" o:hralign="center" o:hrstd="t" o:hr="t"/>
        </w:pict>
      </w:r>
    </w:p>
    <w:bookmarkEnd w:id="43"/>
    <w:bookmarkStart w:id="44" w:name="fr-nesr-005"/>
    <w:p>
      <w:pPr>
        <w:pStyle w:val="Heading3"/>
      </w:pPr>
      <w:r>
        <w:t xml:space="preserve">FR-NESR-005</w:t>
      </w:r>
    </w:p>
    <w:p>
      <w:pPr>
        <w:pStyle w:val="FirstParagraph"/>
      </w:pPr>
      <w:r>
        <w:t xml:space="preserve">Generate situation reports and recovery summaries.</w:t>
      </w:r>
    </w:p>
    <w:p>
      <w:r>
        <w:pict>
          <v:rect style="width:0;height:1.5pt" o:hralign="center" o:hrstd="t" o:hr="t"/>
        </w:pict>
      </w:r>
    </w:p>
    <w:bookmarkEnd w:id="44"/>
    <w:bookmarkStart w:id="45" w:name="fr-nesr-006"/>
    <w:p>
      <w:pPr>
        <w:pStyle w:val="Heading3"/>
      </w:pPr>
      <w:r>
        <w:t xml:space="preserve">FR-NESR-006</w:t>
      </w:r>
    </w:p>
    <w:p>
      <w:pPr>
        <w:pStyle w:val="FirstParagraph"/>
      </w:pPr>
      <w:r>
        <w:t xml:space="preserve">Integrate with the Command Centre, Operations Centre, School Management, Asset Management, Inspection, Logistics, and Analytics modules.</w:t>
      </w:r>
    </w:p>
    <w:p>
      <w:r>
        <w:pict>
          <v:rect style="width:0;height:1.5pt" o:hralign="center" o:hrstd="t" o:hr="t"/>
        </w:pict>
      </w:r>
    </w:p>
    <w:bookmarkEnd w:id="45"/>
    <w:bookmarkEnd w:id="46"/>
    <w:bookmarkStart w:id="47" w:name="key-performance-indicators"/>
    <w:p>
      <w:pPr>
        <w:pStyle w:val="Heading1"/>
      </w:pPr>
      <w:r>
        <w:t xml:space="preserve">13.11 Key Performance Indicators</w:t>
      </w:r>
    </w:p>
    <w:p>
      <w:pPr>
        <w:pStyle w:val="FirstParagraph"/>
      </w:pPr>
      <w:r>
        <w:t xml:space="preserve">Illustrative indicators include:</w:t>
      </w:r>
    </w:p>
    <w:p>
      <w:pPr>
        <w:pStyle w:val="Compact"/>
        <w:numPr>
          <w:ilvl w:val="0"/>
          <w:numId w:val="1014"/>
        </w:numPr>
      </w:pPr>
      <w:r>
        <w:t xml:space="preserve">Time from incident notification to assessment.</w:t>
      </w:r>
    </w:p>
    <w:p>
      <w:pPr>
        <w:pStyle w:val="Compact"/>
        <w:numPr>
          <w:ilvl w:val="0"/>
          <w:numId w:val="1014"/>
        </w:numPr>
      </w:pPr>
      <w:r>
        <w:t xml:space="preserve">Time from activation to first situation report.</w:t>
      </w:r>
    </w:p>
    <w:p>
      <w:pPr>
        <w:pStyle w:val="Compact"/>
        <w:numPr>
          <w:ilvl w:val="0"/>
          <w:numId w:val="1014"/>
        </w:numPr>
      </w:pPr>
      <w:r>
        <w:t xml:space="preserve">Percentage of affected schools assessed.</w:t>
      </w:r>
    </w:p>
    <w:p>
      <w:pPr>
        <w:pStyle w:val="Compact"/>
        <w:numPr>
          <w:ilvl w:val="0"/>
          <w:numId w:val="1014"/>
        </w:numPr>
      </w:pPr>
      <w:r>
        <w:t xml:space="preserve">Average response coordination time.</w:t>
      </w:r>
    </w:p>
    <w:p>
      <w:pPr>
        <w:pStyle w:val="Compact"/>
        <w:numPr>
          <w:ilvl w:val="0"/>
          <w:numId w:val="1014"/>
        </w:numPr>
      </w:pPr>
      <w:r>
        <w:t xml:space="preserve">Recovery completion rate.</w:t>
      </w:r>
    </w:p>
    <w:p>
      <w:pPr>
        <w:pStyle w:val="Compact"/>
        <w:numPr>
          <w:ilvl w:val="0"/>
          <w:numId w:val="1014"/>
        </w:numPr>
      </w:pPr>
      <w:r>
        <w:t xml:space="preserve">Time taken to restore educational resource availability.</w:t>
      </w:r>
    </w:p>
    <w:p>
      <w:pPr>
        <w:pStyle w:val="Compact"/>
        <w:numPr>
          <w:ilvl w:val="0"/>
          <w:numId w:val="1014"/>
        </w:numPr>
      </w:pPr>
      <w:r>
        <w:t xml:space="preserve">Completion of post-incident reviews.</w:t>
      </w:r>
    </w:p>
    <w:p>
      <w:r>
        <w:pict>
          <v:rect style="width:0;height:1.5pt" o:hralign="center" o:hrstd="t" o:hr="t"/>
        </w:pict>
      </w:r>
    </w:p>
    <w:bookmarkEnd w:id="47"/>
    <w:bookmarkStart w:id="48" w:name="expected-benefits"/>
    <w:p>
      <w:pPr>
        <w:pStyle w:val="Heading1"/>
      </w:pPr>
      <w:r>
        <w:t xml:space="preserve">13.12 Expected Benefits</w:t>
      </w:r>
    </w:p>
    <w:p>
      <w:pPr>
        <w:pStyle w:val="FirstParagraph"/>
      </w:pPr>
      <w:r>
        <w:t xml:space="preserve">The National Education Situation Room is expected to contribute to:</w:t>
      </w:r>
    </w:p>
    <w:p>
      <w:pPr>
        <w:pStyle w:val="Compact"/>
        <w:numPr>
          <w:ilvl w:val="0"/>
          <w:numId w:val="1015"/>
        </w:numPr>
      </w:pPr>
      <w:r>
        <w:t xml:space="preserve">Faster coordination during significant disruptions.</w:t>
      </w:r>
    </w:p>
    <w:p>
      <w:pPr>
        <w:pStyle w:val="Compact"/>
        <w:numPr>
          <w:ilvl w:val="0"/>
          <w:numId w:val="1015"/>
        </w:numPr>
      </w:pPr>
      <w:r>
        <w:t xml:space="preserve">Better visibility of operational impacts.</w:t>
      </w:r>
    </w:p>
    <w:p>
      <w:pPr>
        <w:pStyle w:val="Compact"/>
        <w:numPr>
          <w:ilvl w:val="0"/>
          <w:numId w:val="1015"/>
        </w:numPr>
      </w:pPr>
      <w:r>
        <w:t xml:space="preserve">Improved allocation of response resources.</w:t>
      </w:r>
    </w:p>
    <w:p>
      <w:pPr>
        <w:pStyle w:val="Compact"/>
        <w:numPr>
          <w:ilvl w:val="0"/>
          <w:numId w:val="1015"/>
        </w:numPr>
      </w:pPr>
      <w:r>
        <w:t xml:space="preserve">Stronger continuity of education planning.</w:t>
      </w:r>
    </w:p>
    <w:p>
      <w:pPr>
        <w:pStyle w:val="Compact"/>
        <w:numPr>
          <w:ilvl w:val="0"/>
          <w:numId w:val="1015"/>
        </w:numPr>
      </w:pPr>
      <w:r>
        <w:t xml:space="preserve">Enhanced institutional learning from major events.</w:t>
      </w:r>
    </w:p>
    <w:p>
      <w:pPr>
        <w:pStyle w:val="Compact"/>
        <w:numPr>
          <w:ilvl w:val="0"/>
          <w:numId w:val="1015"/>
        </w:numPr>
      </w:pPr>
      <w:r>
        <w:t xml:space="preserve">Greater resilience across the education system.</w:t>
      </w:r>
    </w:p>
    <w:p>
      <w:pPr>
        <w:pStyle w:val="FirstParagraph"/>
      </w:pPr>
      <w:r>
        <w:t xml:space="preserve">These outcomes depend on preparedness, governance, institutional coordination, and effective implementation.</w:t>
      </w:r>
    </w:p>
    <w:p>
      <w:r>
        <w:pict>
          <v:rect style="width:0;height:1.5pt" o:hralign="center" o:hrstd="t" o:hr="t"/>
        </w:pict>
      </w:r>
    </w:p>
    <w:bookmarkEnd w:id="48"/>
    <w:bookmarkStart w:id="49" w:name="chapter-summary"/>
    <w:p>
      <w:pPr>
        <w:pStyle w:val="Heading1"/>
      </w:pPr>
      <w:r>
        <w:t xml:space="preserve">13.13 Chapter Summary</w:t>
      </w:r>
    </w:p>
    <w:p>
      <w:pPr>
        <w:pStyle w:val="FirstParagraph"/>
      </w:pPr>
      <w:r>
        <w:t xml:space="preserve">The National Education Situation Room extends EduOS Cameroon beyond routine administration by providing a structured capability for emergency coordination, operational awareness, and recovery management.</w:t>
      </w:r>
    </w:p>
    <w:p>
      <w:pPr>
        <w:pStyle w:val="BodyText"/>
      </w:pPr>
      <w:r>
        <w:t xml:space="preserve">Working alongside the National Education Command Centre and the National Education Operations Centre, it completes a three-tier governance model:</w:t>
      </w:r>
    </w:p>
    <w:p>
      <w:pPr>
        <w:pStyle w:val="Compact"/>
        <w:numPr>
          <w:ilvl w:val="0"/>
          <w:numId w:val="1016"/>
        </w:numPr>
      </w:pPr>
      <w:r>
        <w:rPr>
          <w:b/>
          <w:bCs/>
        </w:rPr>
        <w:t xml:space="preserve">National Education Command Centre (NECC):</w:t>
      </w:r>
      <w:r>
        <w:t xml:space="preserve"> </w:t>
      </w:r>
      <w:r>
        <w:t xml:space="preserve">Strategic oversight and executive intelligence.</w:t>
      </w:r>
    </w:p>
    <w:p>
      <w:pPr>
        <w:pStyle w:val="Compact"/>
        <w:numPr>
          <w:ilvl w:val="0"/>
          <w:numId w:val="1016"/>
        </w:numPr>
      </w:pPr>
      <w:r>
        <w:rPr>
          <w:b/>
          <w:bCs/>
        </w:rPr>
        <w:t xml:space="preserve">National Education Operations Centre (NEOC):</w:t>
      </w:r>
      <w:r>
        <w:t xml:space="preserve"> </w:t>
      </w:r>
      <w:r>
        <w:t xml:space="preserve">Daily operational coordination and service management.</w:t>
      </w:r>
    </w:p>
    <w:p>
      <w:pPr>
        <w:pStyle w:val="Compact"/>
        <w:numPr>
          <w:ilvl w:val="0"/>
          <w:numId w:val="1016"/>
        </w:numPr>
      </w:pPr>
      <w:r>
        <w:rPr>
          <w:b/>
          <w:bCs/>
        </w:rPr>
        <w:t xml:space="preserve">National Education Situation Room (NESR):</w:t>
      </w:r>
      <w:r>
        <w:t xml:space="preserve"> </w:t>
      </w:r>
      <w:r>
        <w:t xml:space="preserve">Emergency coordination, continuity of education, and recovery management.</w:t>
      </w:r>
    </w:p>
    <w:p>
      <w:pPr>
        <w:pStyle w:val="FirstParagraph"/>
      </w:pPr>
      <w:r>
        <w:t xml:space="preserve">Together, these capabilities strengthen the resilience, responsiveness, and long-term sustainability of Cameroon’s education sector.</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2026-07-10T14:20:00Z</dcterms:created>
  <dcterms:modified xsi:type="dcterms:W3CDTF">2026-07-10T14:20:00Z</dcterms:modified>
</cp:coreProperties>
</file>

<file path=docProps/custom.xml><?xml version="1.0" encoding="utf-8"?>
<Properties xmlns="http://schemas.openxmlformats.org/officeDocument/2006/custom-properties" xmlns:vt="http://schemas.openxmlformats.org/officeDocument/2006/docPropsVTypes"/>
</file>