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2"/>
    <w:p>
      <w:pPr>
        <w:pStyle w:val="Heading1"/>
      </w:pPr>
      <w:r>
        <w:t xml:space="preserve">CHAPTER 22</w:t>
      </w:r>
    </w:p>
    <w:bookmarkEnd w:id="20"/>
    <w:bookmarkStart w:id="22" w:name="X5420dd7db694852a60b399957e93d3612881757"/>
    <w:p>
      <w:pPr>
        <w:pStyle w:val="Heading1"/>
      </w:pPr>
      <w:r>
        <w:t xml:space="preserve">NATIONAL IMPLEMENTATION, CHANGE MANAGEMENT AND CAPACITY BUILDING FRAMEWORK</w:t>
      </w:r>
    </w:p>
    <w:bookmarkStart w:id="21" w:name="introduction"/>
    <w:p>
      <w:pPr>
        <w:pStyle w:val="Heading2"/>
      </w:pPr>
      <w:r>
        <w:t xml:space="preserve">22.1 Introduction</w:t>
      </w:r>
    </w:p>
    <w:p>
      <w:pPr>
        <w:pStyle w:val="FirstParagraph"/>
      </w:pPr>
      <w:r>
        <w:t xml:space="preserve">Successful digital transformation extends beyond the deployment of software. It requires institutional commitment, effective governance, stakeholder engagement, capacity development, and continuous support throughout implementation.</w:t>
      </w:r>
    </w:p>
    <w:p>
      <w:pPr>
        <w:pStyle w:val="BodyText"/>
      </w:pPr>
      <w:r>
        <w:t xml:space="preserve">The introduction of EduOS Cameroon represents a transformation in the way educational resources, operational information, and decision-making processes are managed. Achieving sustainable outcomes therefore requires a structured implementation strategy that combines technology deployment with organizational change.</w:t>
      </w:r>
    </w:p>
    <w:p>
      <w:pPr>
        <w:pStyle w:val="BodyText"/>
      </w:pPr>
      <w:r>
        <w:t xml:space="preserve">The National Implementation, Change Management and Capacity Building Framework provides a roadmap for introducing EduOS Cameroon progressively while supporting users, institutions, and education stakeholders throughout the transition.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vision"/>
    <w:p>
      <w:pPr>
        <w:pStyle w:val="Heading1"/>
      </w:pPr>
      <w:r>
        <w:t xml:space="preserve">22.2 Vision</w:t>
      </w:r>
    </w:p>
    <w:p>
      <w:pPr>
        <w:pStyle w:val="FirstParagraph"/>
      </w:pPr>
      <w:r>
        <w:t xml:space="preserve">To ensure the successful nationwide adoption of EduOS Cameroon through phased implementation, effective stakeholder engagement, institutional capacity development, and continuous improvement.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objectives"/>
    <w:p>
      <w:pPr>
        <w:pStyle w:val="Heading1"/>
      </w:pPr>
      <w:r>
        <w:t xml:space="preserve">22.3 Strategic Objectives</w:t>
      </w:r>
    </w:p>
    <w:p>
      <w:pPr>
        <w:pStyle w:val="FirstParagraph"/>
      </w:pPr>
      <w:r>
        <w:t xml:space="preserve">The framework seeks to:</w:t>
      </w:r>
    </w:p>
    <w:p>
      <w:pPr>
        <w:pStyle w:val="Compact"/>
        <w:numPr>
          <w:ilvl w:val="0"/>
          <w:numId w:val="1001"/>
        </w:numPr>
      </w:pPr>
      <w:r>
        <w:t xml:space="preserve">Minimize implementation risks.</w:t>
      </w:r>
    </w:p>
    <w:p>
      <w:pPr>
        <w:pStyle w:val="Compact"/>
        <w:numPr>
          <w:ilvl w:val="0"/>
          <w:numId w:val="1001"/>
        </w:numPr>
      </w:pPr>
      <w:r>
        <w:t xml:space="preserve">Support institutional readiness.</w:t>
      </w:r>
    </w:p>
    <w:p>
      <w:pPr>
        <w:pStyle w:val="Compact"/>
        <w:numPr>
          <w:ilvl w:val="0"/>
          <w:numId w:val="1001"/>
        </w:numPr>
      </w:pPr>
      <w:r>
        <w:t xml:space="preserve">Build digital competencies.</w:t>
      </w:r>
    </w:p>
    <w:p>
      <w:pPr>
        <w:pStyle w:val="Compact"/>
        <w:numPr>
          <w:ilvl w:val="0"/>
          <w:numId w:val="1001"/>
        </w:numPr>
      </w:pPr>
      <w:r>
        <w:t xml:space="preserve">Promote user adoption.</w:t>
      </w:r>
    </w:p>
    <w:p>
      <w:pPr>
        <w:pStyle w:val="Compact"/>
        <w:numPr>
          <w:ilvl w:val="0"/>
          <w:numId w:val="1001"/>
        </w:numPr>
      </w:pPr>
      <w:r>
        <w:t xml:space="preserve">Strengthen stakeholder ownership.</w:t>
      </w:r>
    </w:p>
    <w:p>
      <w:pPr>
        <w:pStyle w:val="Compact"/>
        <w:numPr>
          <w:ilvl w:val="0"/>
          <w:numId w:val="1001"/>
        </w:numPr>
      </w:pPr>
      <w:r>
        <w:t xml:space="preserve">Ensure operational continuity.</w:t>
      </w:r>
    </w:p>
    <w:p>
      <w:pPr>
        <w:pStyle w:val="Compact"/>
        <w:numPr>
          <w:ilvl w:val="0"/>
          <w:numId w:val="1001"/>
        </w:numPr>
      </w:pPr>
      <w:r>
        <w:t xml:space="preserve">Establish sustainable support mechanisms.</w:t>
      </w:r>
    </w:p>
    <w:p>
      <w:pPr>
        <w:pStyle w:val="Compact"/>
        <w:numPr>
          <w:ilvl w:val="0"/>
          <w:numId w:val="1001"/>
        </w:numPr>
      </w:pPr>
      <w:r>
        <w:t xml:space="preserve">Promote continuous improvement.</w:t>
      </w:r>
    </w:p>
    <w:p>
      <w:r>
        <w:pict>
          <v:rect style="width:0;height:1.5pt" o:hralign="center" o:hrstd="t" o:hr="t"/>
        </w:pict>
      </w:r>
    </w:p>
    <w:bookmarkEnd w:id="24"/>
    <w:bookmarkStart w:id="30" w:name="guiding-principles"/>
    <w:p>
      <w:pPr>
        <w:pStyle w:val="Heading1"/>
      </w:pPr>
      <w:r>
        <w:t xml:space="preserve">22.4 Guiding Principles</w:t>
      </w:r>
    </w:p>
    <w:p>
      <w:pPr>
        <w:pStyle w:val="FirstParagraph"/>
      </w:pPr>
      <w:r>
        <w:t xml:space="preserve">Implementation should be guided by the following principles:</w:t>
      </w:r>
    </w:p>
    <w:bookmarkStart w:id="25" w:name="incremental-deployment"/>
    <w:p>
      <w:pPr>
        <w:pStyle w:val="Heading3"/>
      </w:pPr>
      <w:r>
        <w:t xml:space="preserve">Incremental Deployment</w:t>
      </w:r>
    </w:p>
    <w:p>
      <w:pPr>
        <w:pStyle w:val="FirstParagraph"/>
      </w:pPr>
      <w:r>
        <w:t xml:space="preserve">Introduce capabilities progressively rather than attempting nationwide implementation simultaneously.</w:t>
      </w:r>
    </w:p>
    <w:p>
      <w:r>
        <w:pict>
          <v:rect style="width:0;height:1.5pt" o:hralign="center" o:hrstd="t" o:hr="t"/>
        </w:pict>
      </w:r>
    </w:p>
    <w:bookmarkEnd w:id="25"/>
    <w:bookmarkStart w:id="26" w:name="user-centred-design"/>
    <w:p>
      <w:pPr>
        <w:pStyle w:val="Heading3"/>
      </w:pPr>
      <w:r>
        <w:t xml:space="preserve">User-Centred Design</w:t>
      </w:r>
    </w:p>
    <w:p>
      <w:pPr>
        <w:pStyle w:val="FirstParagraph"/>
      </w:pPr>
      <w:r>
        <w:t xml:space="preserve">Adapt training and support to the operational needs of different user groups.</w:t>
      </w:r>
    </w:p>
    <w:p>
      <w:r>
        <w:pict>
          <v:rect style="width:0;height:1.5pt" o:hralign="center" o:hrstd="t" o:hr="t"/>
        </w:pict>
      </w:r>
    </w:p>
    <w:bookmarkEnd w:id="26"/>
    <w:bookmarkStart w:id="27" w:name="institutional-ownership"/>
    <w:p>
      <w:pPr>
        <w:pStyle w:val="Heading3"/>
      </w:pPr>
      <w:r>
        <w:t xml:space="preserve">Institutional Ownership</w:t>
      </w:r>
    </w:p>
    <w:p>
      <w:pPr>
        <w:pStyle w:val="FirstParagraph"/>
      </w:pPr>
      <w:r>
        <w:t xml:space="preserve">Government institutions remain responsible for programme governance and operational decisions.</w:t>
      </w:r>
    </w:p>
    <w:p>
      <w:r>
        <w:pict>
          <v:rect style="width:0;height:1.5pt" o:hralign="center" o:hrstd="t" o:hr="t"/>
        </w:pict>
      </w:r>
    </w:p>
    <w:bookmarkEnd w:id="27"/>
    <w:bookmarkStart w:id="28" w:name="continuous-learning"/>
    <w:p>
      <w:pPr>
        <w:pStyle w:val="Heading3"/>
      </w:pPr>
      <w:r>
        <w:t xml:space="preserve">Continuous Learning</w:t>
      </w:r>
    </w:p>
    <w:p>
      <w:pPr>
        <w:pStyle w:val="FirstParagraph"/>
      </w:pPr>
      <w:r>
        <w:t xml:space="preserve">Implementation lessons should inform subsequent deployment phases.</w:t>
      </w:r>
    </w:p>
    <w:p>
      <w:r>
        <w:pict>
          <v:rect style="width:0;height:1.5pt" o:hralign="center" o:hrstd="t" o:hr="t"/>
        </w:pict>
      </w:r>
    </w:p>
    <w:bookmarkEnd w:id="28"/>
    <w:bookmarkStart w:id="29" w:name="sustainability"/>
    <w:p>
      <w:pPr>
        <w:pStyle w:val="Heading3"/>
      </w:pPr>
      <w:r>
        <w:t xml:space="preserve">Sustainability</w:t>
      </w:r>
    </w:p>
    <w:p>
      <w:pPr>
        <w:pStyle w:val="FirstParagraph"/>
      </w:pPr>
      <w:r>
        <w:t xml:space="preserve">Implementation decisions should support long-term operational and financial sustainability.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implementation-governance"/>
    <w:p>
      <w:pPr>
        <w:pStyle w:val="Heading1"/>
      </w:pPr>
      <w:r>
        <w:t xml:space="preserve">22.5 Implementation Governance</w:t>
      </w:r>
    </w:p>
    <w:p>
      <w:pPr>
        <w:pStyle w:val="FirstParagraph"/>
      </w:pPr>
      <w:r>
        <w:t xml:space="preserve">Effective implementation requires clearly defined governance structures.</w:t>
      </w:r>
    </w:p>
    <w:p>
      <w:pPr>
        <w:pStyle w:val="BodyText"/>
      </w:pPr>
      <w:r>
        <w:t xml:space="preserve">Illustrative governance bodies include:</w:t>
      </w:r>
    </w:p>
    <w:bookmarkStart w:id="31" w:name="national-steering-committee"/>
    <w:p>
      <w:pPr>
        <w:pStyle w:val="Heading3"/>
      </w:pPr>
      <w:r>
        <w:t xml:space="preserve">National Steering Committee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2"/>
        </w:numPr>
      </w:pPr>
      <w:r>
        <w:t xml:space="preserve">Strategic oversight.</w:t>
      </w:r>
    </w:p>
    <w:p>
      <w:pPr>
        <w:pStyle w:val="Compact"/>
        <w:numPr>
          <w:ilvl w:val="0"/>
          <w:numId w:val="1002"/>
        </w:numPr>
      </w:pPr>
      <w:r>
        <w:t xml:space="preserve">Policy direction.</w:t>
      </w:r>
    </w:p>
    <w:p>
      <w:pPr>
        <w:pStyle w:val="Compact"/>
        <w:numPr>
          <w:ilvl w:val="0"/>
          <w:numId w:val="1002"/>
        </w:numPr>
      </w:pPr>
      <w:r>
        <w:t xml:space="preserve">Programme approval.</w:t>
      </w:r>
    </w:p>
    <w:p>
      <w:pPr>
        <w:pStyle w:val="Compact"/>
        <w:numPr>
          <w:ilvl w:val="0"/>
          <w:numId w:val="1002"/>
        </w:numPr>
      </w:pPr>
      <w:r>
        <w:t xml:space="preserve">Resource mobilization.</w:t>
      </w:r>
    </w:p>
    <w:p>
      <w:r>
        <w:pict>
          <v:rect style="width:0;height:1.5pt" o:hralign="center" o:hrstd="t" o:hr="t"/>
        </w:pict>
      </w:r>
    </w:p>
    <w:bookmarkEnd w:id="31"/>
    <w:bookmarkStart w:id="32" w:name="programme-management-office-pmo"/>
    <w:p>
      <w:pPr>
        <w:pStyle w:val="Heading3"/>
      </w:pPr>
      <w:r>
        <w:t xml:space="preserve">Programme Management Office (PMO)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Programme coordination.</w:t>
      </w:r>
    </w:p>
    <w:p>
      <w:pPr>
        <w:pStyle w:val="Compact"/>
        <w:numPr>
          <w:ilvl w:val="0"/>
          <w:numId w:val="1003"/>
        </w:numPr>
      </w:pPr>
      <w:r>
        <w:t xml:space="preserve">Schedule management.</w:t>
      </w:r>
    </w:p>
    <w:p>
      <w:pPr>
        <w:pStyle w:val="Compact"/>
        <w:numPr>
          <w:ilvl w:val="0"/>
          <w:numId w:val="1003"/>
        </w:numPr>
      </w:pPr>
      <w:r>
        <w:t xml:space="preserve">Risk management.</w:t>
      </w:r>
    </w:p>
    <w:p>
      <w:pPr>
        <w:pStyle w:val="Compact"/>
        <w:numPr>
          <w:ilvl w:val="0"/>
          <w:numId w:val="1003"/>
        </w:numPr>
      </w:pPr>
      <w:r>
        <w:t xml:space="preserve">Performance monitoring.</w:t>
      </w:r>
    </w:p>
    <w:p>
      <w:pPr>
        <w:pStyle w:val="Compact"/>
        <w:numPr>
          <w:ilvl w:val="0"/>
          <w:numId w:val="1003"/>
        </w:numPr>
      </w:pPr>
      <w:r>
        <w:t xml:space="preserve">Stakeholder coordination.</w:t>
      </w:r>
    </w:p>
    <w:p>
      <w:r>
        <w:pict>
          <v:rect style="width:0;height:1.5pt" o:hralign="center" o:hrstd="t" o:hr="t"/>
        </w:pict>
      </w:r>
    </w:p>
    <w:bookmarkEnd w:id="32"/>
    <w:bookmarkStart w:id="33" w:name="technical-implementation-team"/>
    <w:p>
      <w:pPr>
        <w:pStyle w:val="Heading3"/>
      </w:pPr>
      <w:r>
        <w:t xml:space="preserve">Technical Implementation Team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System deployment.</w:t>
      </w:r>
    </w:p>
    <w:p>
      <w:pPr>
        <w:pStyle w:val="Compact"/>
        <w:numPr>
          <w:ilvl w:val="0"/>
          <w:numId w:val="1004"/>
        </w:numPr>
      </w:pPr>
      <w:r>
        <w:t xml:space="preserve">Integration.</w:t>
      </w:r>
    </w:p>
    <w:p>
      <w:pPr>
        <w:pStyle w:val="Compact"/>
        <w:numPr>
          <w:ilvl w:val="0"/>
          <w:numId w:val="1004"/>
        </w:numPr>
      </w:pPr>
      <w:r>
        <w:t xml:space="preserve">Infrastructure.</w:t>
      </w:r>
    </w:p>
    <w:p>
      <w:pPr>
        <w:pStyle w:val="Compact"/>
        <w:numPr>
          <w:ilvl w:val="0"/>
          <w:numId w:val="1004"/>
        </w:numPr>
      </w:pPr>
      <w:r>
        <w:t xml:space="preserve">Testing.</w:t>
      </w:r>
    </w:p>
    <w:p>
      <w:pPr>
        <w:pStyle w:val="Compact"/>
        <w:numPr>
          <w:ilvl w:val="0"/>
          <w:numId w:val="1004"/>
        </w:numPr>
      </w:pPr>
      <w:r>
        <w:t xml:space="preserve">Technical support.</w:t>
      </w:r>
    </w:p>
    <w:p>
      <w:r>
        <w:pict>
          <v:rect style="width:0;height:1.5pt" o:hralign="center" o:hrstd="t" o:hr="t"/>
        </w:pict>
      </w:r>
    </w:p>
    <w:bookmarkEnd w:id="33"/>
    <w:bookmarkStart w:id="34" w:name="regional-implementation-teams"/>
    <w:p>
      <w:pPr>
        <w:pStyle w:val="Heading3"/>
      </w:pPr>
      <w:r>
        <w:t xml:space="preserve">Regional Implementation Teams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Regional coordination.</w:t>
      </w:r>
    </w:p>
    <w:p>
      <w:pPr>
        <w:pStyle w:val="Compact"/>
        <w:numPr>
          <w:ilvl w:val="0"/>
          <w:numId w:val="1005"/>
        </w:numPr>
      </w:pPr>
      <w:r>
        <w:t xml:space="preserve">User support.</w:t>
      </w:r>
    </w:p>
    <w:p>
      <w:pPr>
        <w:pStyle w:val="Compact"/>
        <w:numPr>
          <w:ilvl w:val="0"/>
          <w:numId w:val="1005"/>
        </w:numPr>
      </w:pPr>
      <w:r>
        <w:t xml:space="preserve">Training.</w:t>
      </w:r>
    </w:p>
    <w:p>
      <w:pPr>
        <w:pStyle w:val="Compact"/>
        <w:numPr>
          <w:ilvl w:val="0"/>
          <w:numId w:val="1005"/>
        </w:numPr>
      </w:pPr>
      <w:r>
        <w:t xml:space="preserve">Field deployment.</w:t>
      </w:r>
    </w:p>
    <w:p>
      <w:pPr>
        <w:pStyle w:val="Compact"/>
        <w:numPr>
          <w:ilvl w:val="0"/>
          <w:numId w:val="1005"/>
        </w:numPr>
      </w:pPr>
      <w:r>
        <w:t xml:space="preserve">Operational feedback.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hased-implementation-approach"/>
    <w:p>
      <w:pPr>
        <w:pStyle w:val="Heading1"/>
      </w:pPr>
      <w:r>
        <w:t xml:space="preserve">22.6 Phased Implementation Approach</w:t>
      </w:r>
    </w:p>
    <w:p>
      <w:pPr>
        <w:pStyle w:val="FirstParagraph"/>
      </w:pPr>
      <w:r>
        <w:t xml:space="preserve">Illustrative implementation phases include:</w:t>
      </w:r>
    </w:p>
    <w:bookmarkStart w:id="36" w:name="phase-1-preparation"/>
    <w:p>
      <w:pPr>
        <w:pStyle w:val="Heading3"/>
      </w:pPr>
      <w:r>
        <w:t xml:space="preserve">Phase 1 – Preparation</w:t>
      </w:r>
    </w:p>
    <w:p>
      <w:pPr>
        <w:pStyle w:val="FirstParagraph"/>
      </w:pPr>
      <w:r>
        <w:t xml:space="preserve">Activities include:</w:t>
      </w:r>
    </w:p>
    <w:p>
      <w:pPr>
        <w:pStyle w:val="Compact"/>
        <w:numPr>
          <w:ilvl w:val="0"/>
          <w:numId w:val="1006"/>
        </w:numPr>
      </w:pPr>
      <w:r>
        <w:t xml:space="preserve">Institutional readiness assessment.</w:t>
      </w:r>
    </w:p>
    <w:p>
      <w:pPr>
        <w:pStyle w:val="Compact"/>
        <w:numPr>
          <w:ilvl w:val="0"/>
          <w:numId w:val="1006"/>
        </w:numPr>
      </w:pPr>
      <w:r>
        <w:t xml:space="preserve">Infrastructure assessment.</w:t>
      </w:r>
    </w:p>
    <w:p>
      <w:pPr>
        <w:pStyle w:val="Compact"/>
        <w:numPr>
          <w:ilvl w:val="0"/>
          <w:numId w:val="1006"/>
        </w:numPr>
      </w:pPr>
      <w:r>
        <w:t xml:space="preserve">Stakeholder consultation.</w:t>
      </w:r>
    </w:p>
    <w:p>
      <w:pPr>
        <w:pStyle w:val="Compact"/>
        <w:numPr>
          <w:ilvl w:val="0"/>
          <w:numId w:val="1006"/>
        </w:numPr>
      </w:pPr>
      <w:r>
        <w:t xml:space="preserve">Detailed implementation planning.</w:t>
      </w:r>
    </w:p>
    <w:p>
      <w:r>
        <w:pict>
          <v:rect style="width:0;height:1.5pt" o:hralign="center" o:hrstd="t" o:hr="t"/>
        </w:pict>
      </w:r>
    </w:p>
    <w:bookmarkEnd w:id="36"/>
    <w:bookmarkStart w:id="37" w:name="phase-2-pilot-implementation"/>
    <w:p>
      <w:pPr>
        <w:pStyle w:val="Heading3"/>
      </w:pPr>
      <w:r>
        <w:t xml:space="preserve">Phase 2 – Pilot Implementation</w:t>
      </w:r>
    </w:p>
    <w:p>
      <w:pPr>
        <w:pStyle w:val="FirstParagraph"/>
      </w:pPr>
      <w:r>
        <w:t xml:space="preserve">Activities include:</w:t>
      </w:r>
    </w:p>
    <w:p>
      <w:pPr>
        <w:pStyle w:val="Compact"/>
        <w:numPr>
          <w:ilvl w:val="0"/>
          <w:numId w:val="1007"/>
        </w:numPr>
      </w:pPr>
      <w:r>
        <w:t xml:space="preserve">Deployment in selected schools.</w:t>
      </w:r>
    </w:p>
    <w:p>
      <w:pPr>
        <w:pStyle w:val="Compact"/>
        <w:numPr>
          <w:ilvl w:val="0"/>
          <w:numId w:val="1007"/>
        </w:numPr>
      </w:pPr>
      <w:r>
        <w:t xml:space="preserve">User training.</w:t>
      </w:r>
    </w:p>
    <w:p>
      <w:pPr>
        <w:pStyle w:val="Compact"/>
        <w:numPr>
          <w:ilvl w:val="0"/>
          <w:numId w:val="1007"/>
        </w:numPr>
      </w:pPr>
      <w:r>
        <w:t xml:space="preserve">Operational validation.</w:t>
      </w:r>
    </w:p>
    <w:p>
      <w:pPr>
        <w:pStyle w:val="Compact"/>
        <w:numPr>
          <w:ilvl w:val="0"/>
          <w:numId w:val="1007"/>
        </w:numPr>
      </w:pPr>
      <w:r>
        <w:t xml:space="preserve">Performance monitoring.</w:t>
      </w:r>
    </w:p>
    <w:p>
      <w:pPr>
        <w:pStyle w:val="Compact"/>
        <w:numPr>
          <w:ilvl w:val="0"/>
          <w:numId w:val="1007"/>
        </w:numPr>
      </w:pPr>
      <w:r>
        <w:t xml:space="preserve">Lessons learned.</w:t>
      </w:r>
    </w:p>
    <w:p>
      <w:r>
        <w:pict>
          <v:rect style="width:0;height:1.5pt" o:hralign="center" o:hrstd="t" o:hr="t"/>
        </w:pict>
      </w:r>
    </w:p>
    <w:bookmarkEnd w:id="37"/>
    <w:bookmarkStart w:id="38" w:name="phase-3-progressive-regional-expansion"/>
    <w:p>
      <w:pPr>
        <w:pStyle w:val="Heading3"/>
      </w:pPr>
      <w:r>
        <w:t xml:space="preserve">Phase 3 – Progressive Regional Expansion</w:t>
      </w:r>
    </w:p>
    <w:p>
      <w:pPr>
        <w:pStyle w:val="FirstParagraph"/>
      </w:pPr>
      <w:r>
        <w:t xml:space="preserve">Activities include:</w:t>
      </w:r>
    </w:p>
    <w:p>
      <w:pPr>
        <w:pStyle w:val="Compact"/>
        <w:numPr>
          <w:ilvl w:val="0"/>
          <w:numId w:val="1008"/>
        </w:numPr>
      </w:pPr>
      <w:r>
        <w:t xml:space="preserve">Deployment by region.</w:t>
      </w:r>
    </w:p>
    <w:p>
      <w:pPr>
        <w:pStyle w:val="Compact"/>
        <w:numPr>
          <w:ilvl w:val="0"/>
          <w:numId w:val="1008"/>
        </w:numPr>
      </w:pPr>
      <w:r>
        <w:t xml:space="preserve">Capacity development.</w:t>
      </w:r>
    </w:p>
    <w:p>
      <w:pPr>
        <w:pStyle w:val="Compact"/>
        <w:numPr>
          <w:ilvl w:val="0"/>
          <w:numId w:val="1008"/>
        </w:numPr>
      </w:pPr>
      <w:r>
        <w:t xml:space="preserve">Continuous monitoring.</w:t>
      </w:r>
    </w:p>
    <w:p>
      <w:pPr>
        <w:pStyle w:val="Compact"/>
        <w:numPr>
          <w:ilvl w:val="0"/>
          <w:numId w:val="1008"/>
        </w:numPr>
      </w:pPr>
      <w:r>
        <w:t xml:space="preserve">System optimization.</w:t>
      </w:r>
    </w:p>
    <w:p>
      <w:r>
        <w:pict>
          <v:rect style="width:0;height:1.5pt" o:hralign="center" o:hrstd="t" o:hr="t"/>
        </w:pict>
      </w:r>
    </w:p>
    <w:bookmarkEnd w:id="38"/>
    <w:bookmarkStart w:id="39" w:name="phase-4-nationwide-operationalization"/>
    <w:p>
      <w:pPr>
        <w:pStyle w:val="Heading3"/>
      </w:pPr>
      <w:r>
        <w:t xml:space="preserve">Phase 4 – Nationwide Operationalization</w:t>
      </w:r>
    </w:p>
    <w:p>
      <w:pPr>
        <w:pStyle w:val="FirstParagraph"/>
      </w:pPr>
      <w:r>
        <w:t xml:space="preserve">Activities include:</w:t>
      </w:r>
    </w:p>
    <w:p>
      <w:pPr>
        <w:pStyle w:val="Compact"/>
        <w:numPr>
          <w:ilvl w:val="0"/>
          <w:numId w:val="1009"/>
        </w:numPr>
      </w:pPr>
      <w:r>
        <w:t xml:space="preserve">Full operational deployment.</w:t>
      </w:r>
    </w:p>
    <w:p>
      <w:pPr>
        <w:pStyle w:val="Compact"/>
        <w:numPr>
          <w:ilvl w:val="0"/>
          <w:numId w:val="1009"/>
        </w:numPr>
      </w:pPr>
      <w:r>
        <w:t xml:space="preserve">Continuous support.</w:t>
      </w:r>
    </w:p>
    <w:p>
      <w:pPr>
        <w:pStyle w:val="Compact"/>
        <w:numPr>
          <w:ilvl w:val="0"/>
          <w:numId w:val="1009"/>
        </w:numPr>
      </w:pPr>
      <w:r>
        <w:t xml:space="preserve">Performance optimization.</w:t>
      </w:r>
    </w:p>
    <w:p>
      <w:pPr>
        <w:pStyle w:val="Compact"/>
        <w:numPr>
          <w:ilvl w:val="0"/>
          <w:numId w:val="1009"/>
        </w:numPr>
      </w:pPr>
      <w:r>
        <w:t xml:space="preserve">Long-term maintenance.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hange-management-strategy"/>
    <w:p>
      <w:pPr>
        <w:pStyle w:val="Heading1"/>
      </w:pPr>
      <w:r>
        <w:t xml:space="preserve">22.7 Change Management Strategy</w:t>
      </w:r>
    </w:p>
    <w:p>
      <w:pPr>
        <w:pStyle w:val="FirstParagraph"/>
      </w:pPr>
      <w:r>
        <w:t xml:space="preserve">The change management programme addresses:</w:t>
      </w:r>
    </w:p>
    <w:p>
      <w:pPr>
        <w:pStyle w:val="Compact"/>
        <w:numPr>
          <w:ilvl w:val="0"/>
          <w:numId w:val="1010"/>
        </w:numPr>
      </w:pPr>
      <w:r>
        <w:t xml:space="preserve">Leadership engagement.</w:t>
      </w:r>
    </w:p>
    <w:p>
      <w:pPr>
        <w:pStyle w:val="Compact"/>
        <w:numPr>
          <w:ilvl w:val="0"/>
          <w:numId w:val="1010"/>
        </w:numPr>
      </w:pPr>
      <w:r>
        <w:t xml:space="preserve">Stakeholder communication.</w:t>
      </w:r>
    </w:p>
    <w:p>
      <w:pPr>
        <w:pStyle w:val="Compact"/>
        <w:numPr>
          <w:ilvl w:val="0"/>
          <w:numId w:val="1010"/>
        </w:numPr>
      </w:pPr>
      <w:r>
        <w:t xml:space="preserve">User participation.</w:t>
      </w:r>
    </w:p>
    <w:p>
      <w:pPr>
        <w:pStyle w:val="Compact"/>
        <w:numPr>
          <w:ilvl w:val="0"/>
          <w:numId w:val="1010"/>
        </w:numPr>
      </w:pPr>
      <w:r>
        <w:t xml:space="preserve">Organizational readiness.</w:t>
      </w:r>
    </w:p>
    <w:p>
      <w:pPr>
        <w:pStyle w:val="Compact"/>
        <w:numPr>
          <w:ilvl w:val="0"/>
          <w:numId w:val="1010"/>
        </w:numPr>
      </w:pPr>
      <w:r>
        <w:t xml:space="preserve">Resistance management.</w:t>
      </w:r>
    </w:p>
    <w:p>
      <w:pPr>
        <w:pStyle w:val="Compact"/>
        <w:numPr>
          <w:ilvl w:val="0"/>
          <w:numId w:val="1010"/>
        </w:numPr>
      </w:pPr>
      <w:r>
        <w:t xml:space="preserve">Continuous communication.</w:t>
      </w:r>
    </w:p>
    <w:p>
      <w:pPr>
        <w:pStyle w:val="Compact"/>
        <w:numPr>
          <w:ilvl w:val="0"/>
          <w:numId w:val="1010"/>
        </w:numPr>
      </w:pPr>
      <w:r>
        <w:t xml:space="preserve">Success recognition.</w:t>
      </w:r>
    </w:p>
    <w:p>
      <w:pPr>
        <w:pStyle w:val="Compact"/>
        <w:numPr>
          <w:ilvl w:val="0"/>
          <w:numId w:val="1010"/>
        </w:numPr>
      </w:pPr>
      <w:r>
        <w:t xml:space="preserve">Feedback integration.</w:t>
      </w:r>
    </w:p>
    <w:p>
      <w:pPr>
        <w:pStyle w:val="FirstParagraph"/>
      </w:pPr>
      <w:r>
        <w:t xml:space="preserve">The objective is to encourage adoption through engagement rather than mandate alone.</w:t>
      </w:r>
    </w:p>
    <w:p>
      <w:r>
        <w:pict>
          <v:rect style="width:0;height:1.5pt" o:hralign="center" o:hrstd="t" o:hr="t"/>
        </w:pict>
      </w:r>
    </w:p>
    <w:bookmarkEnd w:id="41"/>
    <w:bookmarkStart w:id="47" w:name="capacity-building-framework"/>
    <w:p>
      <w:pPr>
        <w:pStyle w:val="Heading1"/>
      </w:pPr>
      <w:r>
        <w:t xml:space="preserve">22.8 Capacity Building Framework</w:t>
      </w:r>
    </w:p>
    <w:p>
      <w:pPr>
        <w:pStyle w:val="FirstParagraph"/>
      </w:pPr>
      <w:r>
        <w:t xml:space="preserve">Training programmes are tailored to different user groups.</w:t>
      </w:r>
    </w:p>
    <w:bookmarkStart w:id="42" w:name="national-officials"/>
    <w:p>
      <w:pPr>
        <w:pStyle w:val="Heading3"/>
      </w:pPr>
      <w:r>
        <w:t xml:space="preserve">National Officials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1"/>
        </w:numPr>
      </w:pPr>
      <w:r>
        <w:t xml:space="preserve">Executive dashboards.</w:t>
      </w:r>
    </w:p>
    <w:p>
      <w:pPr>
        <w:pStyle w:val="Compact"/>
        <w:numPr>
          <w:ilvl w:val="0"/>
          <w:numId w:val="1011"/>
        </w:numPr>
      </w:pPr>
      <w:r>
        <w:t xml:space="preserve">Policy analytics.</w:t>
      </w:r>
    </w:p>
    <w:p>
      <w:pPr>
        <w:pStyle w:val="Compact"/>
        <w:numPr>
          <w:ilvl w:val="0"/>
          <w:numId w:val="1011"/>
        </w:numPr>
      </w:pPr>
      <w:r>
        <w:t xml:space="preserve">Decision support.</w:t>
      </w:r>
    </w:p>
    <w:p>
      <w:r>
        <w:pict>
          <v:rect style="width:0;height:1.5pt" o:hralign="center" o:hrstd="t" o:hr="t"/>
        </w:pict>
      </w:r>
    </w:p>
    <w:bookmarkEnd w:id="42"/>
    <w:bookmarkStart w:id="43" w:name="regional-officials"/>
    <w:p>
      <w:pPr>
        <w:pStyle w:val="Heading3"/>
      </w:pPr>
      <w:r>
        <w:t xml:space="preserve">Regional Officials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2"/>
        </w:numPr>
      </w:pPr>
      <w:r>
        <w:t xml:space="preserve">Operational monitoring.</w:t>
      </w:r>
    </w:p>
    <w:p>
      <w:pPr>
        <w:pStyle w:val="Compact"/>
        <w:numPr>
          <w:ilvl w:val="0"/>
          <w:numId w:val="1012"/>
        </w:numPr>
      </w:pPr>
      <w:r>
        <w:t xml:space="preserve">Distribution management.</w:t>
      </w:r>
    </w:p>
    <w:p>
      <w:pPr>
        <w:pStyle w:val="Compact"/>
        <w:numPr>
          <w:ilvl w:val="0"/>
          <w:numId w:val="1012"/>
        </w:numPr>
      </w:pPr>
      <w:r>
        <w:t xml:space="preserve">Reporting.</w:t>
      </w:r>
    </w:p>
    <w:p>
      <w:r>
        <w:pict>
          <v:rect style="width:0;height:1.5pt" o:hralign="center" o:hrstd="t" o:hr="t"/>
        </w:pict>
      </w:r>
    </w:p>
    <w:bookmarkEnd w:id="43"/>
    <w:bookmarkStart w:id="44" w:name="inspectors"/>
    <w:p>
      <w:pPr>
        <w:pStyle w:val="Heading3"/>
      </w:pPr>
      <w:r>
        <w:t xml:space="preserve">Inspectors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3"/>
        </w:numPr>
      </w:pPr>
      <w:r>
        <w:t xml:space="preserve">Digital inspections.</w:t>
      </w:r>
    </w:p>
    <w:p>
      <w:pPr>
        <w:pStyle w:val="Compact"/>
        <w:numPr>
          <w:ilvl w:val="0"/>
          <w:numId w:val="1013"/>
        </w:numPr>
      </w:pPr>
      <w:r>
        <w:t xml:space="preserve">Evidence collection.</w:t>
      </w:r>
    </w:p>
    <w:p>
      <w:pPr>
        <w:pStyle w:val="Compact"/>
        <w:numPr>
          <w:ilvl w:val="0"/>
          <w:numId w:val="1013"/>
        </w:numPr>
      </w:pPr>
      <w:r>
        <w:t xml:space="preserve">Corrective action management.</w:t>
      </w:r>
    </w:p>
    <w:p>
      <w:r>
        <w:pict>
          <v:rect style="width:0;height:1.5pt" o:hralign="center" o:hrstd="t" o:hr="t"/>
        </w:pict>
      </w:r>
    </w:p>
    <w:bookmarkEnd w:id="44"/>
    <w:bookmarkStart w:id="45" w:name="headteachers"/>
    <w:p>
      <w:pPr>
        <w:pStyle w:val="Heading3"/>
      </w:pPr>
      <w:r>
        <w:t xml:space="preserve">Headteachers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4"/>
        </w:numPr>
      </w:pPr>
      <w:r>
        <w:t xml:space="preserve">School administration.</w:t>
      </w:r>
    </w:p>
    <w:p>
      <w:pPr>
        <w:pStyle w:val="Compact"/>
        <w:numPr>
          <w:ilvl w:val="0"/>
          <w:numId w:val="1014"/>
        </w:numPr>
      </w:pPr>
      <w:r>
        <w:t xml:space="preserve">Textbook management.</w:t>
      </w:r>
    </w:p>
    <w:p>
      <w:pPr>
        <w:pStyle w:val="Compact"/>
        <w:numPr>
          <w:ilvl w:val="0"/>
          <w:numId w:val="1014"/>
        </w:numPr>
      </w:pPr>
      <w:r>
        <w:t xml:space="preserve">Asset management.</w:t>
      </w:r>
    </w:p>
    <w:p>
      <w:pPr>
        <w:pStyle w:val="Compact"/>
        <w:numPr>
          <w:ilvl w:val="0"/>
          <w:numId w:val="1014"/>
        </w:numPr>
      </w:pPr>
      <w:r>
        <w:t xml:space="preserve">Reporting.</w:t>
      </w:r>
    </w:p>
    <w:p>
      <w:r>
        <w:pict>
          <v:rect style="width:0;height:1.5pt" o:hralign="center" o:hrstd="t" o:hr="t"/>
        </w:pict>
      </w:r>
    </w:p>
    <w:bookmarkEnd w:id="45"/>
    <w:bookmarkStart w:id="46" w:name="technical-personnel"/>
    <w:p>
      <w:pPr>
        <w:pStyle w:val="Heading3"/>
      </w:pPr>
      <w:r>
        <w:t xml:space="preserve">Technical Personnel</w:t>
      </w:r>
    </w:p>
    <w:p>
      <w:pPr>
        <w:pStyle w:val="FirstParagraph"/>
      </w:pPr>
      <w:r>
        <w:t xml:space="preserve">Focus areas include:</w:t>
      </w:r>
    </w:p>
    <w:p>
      <w:pPr>
        <w:pStyle w:val="Compact"/>
        <w:numPr>
          <w:ilvl w:val="0"/>
          <w:numId w:val="1015"/>
        </w:numPr>
      </w:pPr>
      <w:r>
        <w:t xml:space="preserve">System administration.</w:t>
      </w:r>
    </w:p>
    <w:p>
      <w:pPr>
        <w:pStyle w:val="Compact"/>
        <w:numPr>
          <w:ilvl w:val="0"/>
          <w:numId w:val="1015"/>
        </w:numPr>
      </w:pPr>
      <w:r>
        <w:t xml:space="preserve">Infrastructure.</w:t>
      </w:r>
    </w:p>
    <w:p>
      <w:pPr>
        <w:pStyle w:val="Compact"/>
        <w:numPr>
          <w:ilvl w:val="0"/>
          <w:numId w:val="1015"/>
        </w:numPr>
      </w:pPr>
      <w:r>
        <w:t xml:space="preserve">Cybersecurity.</w:t>
      </w:r>
    </w:p>
    <w:p>
      <w:pPr>
        <w:pStyle w:val="Compact"/>
        <w:numPr>
          <w:ilvl w:val="0"/>
          <w:numId w:val="1015"/>
        </w:numPr>
      </w:pPr>
      <w:r>
        <w:t xml:space="preserve">Platform monitoring.</w:t>
      </w:r>
    </w:p>
    <w:p>
      <w:pPr>
        <w:pStyle w:val="Compact"/>
        <w:numPr>
          <w:ilvl w:val="0"/>
          <w:numId w:val="1015"/>
        </w:numPr>
      </w:pPr>
      <w:r>
        <w:t xml:space="preserve">User support.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mmunication-strategy"/>
    <w:p>
      <w:pPr>
        <w:pStyle w:val="Heading1"/>
      </w:pPr>
      <w:r>
        <w:t xml:space="preserve">22.9 Communication Strategy</w:t>
      </w:r>
    </w:p>
    <w:p>
      <w:pPr>
        <w:pStyle w:val="FirstParagraph"/>
      </w:pPr>
      <w:r>
        <w:t xml:space="preserve">The communication programme supports:</w:t>
      </w:r>
    </w:p>
    <w:p>
      <w:pPr>
        <w:pStyle w:val="Compact"/>
        <w:numPr>
          <w:ilvl w:val="0"/>
          <w:numId w:val="1016"/>
        </w:numPr>
      </w:pPr>
      <w:r>
        <w:t xml:space="preserve">Awareness campaigns.</w:t>
      </w:r>
    </w:p>
    <w:p>
      <w:pPr>
        <w:pStyle w:val="Compact"/>
        <w:numPr>
          <w:ilvl w:val="0"/>
          <w:numId w:val="1016"/>
        </w:numPr>
      </w:pPr>
      <w:r>
        <w:t xml:space="preserve">User guides.</w:t>
      </w:r>
    </w:p>
    <w:p>
      <w:pPr>
        <w:pStyle w:val="Compact"/>
        <w:numPr>
          <w:ilvl w:val="0"/>
          <w:numId w:val="1016"/>
        </w:numPr>
      </w:pPr>
      <w:r>
        <w:t xml:space="preserve">Frequently Asked Questions (FAQs).</w:t>
      </w:r>
    </w:p>
    <w:p>
      <w:pPr>
        <w:pStyle w:val="Compact"/>
        <w:numPr>
          <w:ilvl w:val="0"/>
          <w:numId w:val="1016"/>
        </w:numPr>
      </w:pPr>
      <w:r>
        <w:t xml:space="preserve">Demonstration sessions.</w:t>
      </w:r>
    </w:p>
    <w:p>
      <w:pPr>
        <w:pStyle w:val="Compact"/>
        <w:numPr>
          <w:ilvl w:val="0"/>
          <w:numId w:val="1016"/>
        </w:numPr>
      </w:pPr>
      <w:r>
        <w:t xml:space="preserve">Progress updates.</w:t>
      </w:r>
    </w:p>
    <w:p>
      <w:pPr>
        <w:pStyle w:val="Compact"/>
        <w:numPr>
          <w:ilvl w:val="0"/>
          <w:numId w:val="1016"/>
        </w:numPr>
      </w:pPr>
      <w:r>
        <w:t xml:space="preserve">Feedback mechanisms.</w:t>
      </w:r>
    </w:p>
    <w:p>
      <w:pPr>
        <w:pStyle w:val="FirstParagraph"/>
      </w:pPr>
      <w:r>
        <w:t xml:space="preserve">Consistent communication promotes transparency and user confidence.</w:t>
      </w:r>
    </w:p>
    <w:p>
      <w:r>
        <w:pict>
          <v:rect style="width:0;height:1.5pt" o:hralign="center" o:hrstd="t" o:hr="t"/>
        </w:pict>
      </w:r>
    </w:p>
    <w:bookmarkEnd w:id="48"/>
    <w:bookmarkStart w:id="49" w:name="operational-support"/>
    <w:p>
      <w:pPr>
        <w:pStyle w:val="Heading1"/>
      </w:pPr>
      <w:r>
        <w:t xml:space="preserve">22.10 Operational Support</w:t>
      </w:r>
    </w:p>
    <w:p>
      <w:pPr>
        <w:pStyle w:val="FirstParagraph"/>
      </w:pPr>
      <w:r>
        <w:t xml:space="preserve">Support services include:</w:t>
      </w:r>
    </w:p>
    <w:p>
      <w:pPr>
        <w:pStyle w:val="Compact"/>
        <w:numPr>
          <w:ilvl w:val="0"/>
          <w:numId w:val="1017"/>
        </w:numPr>
      </w:pPr>
      <w:r>
        <w:t xml:space="preserve">National Helpdesk.</w:t>
      </w:r>
    </w:p>
    <w:p>
      <w:pPr>
        <w:pStyle w:val="Compact"/>
        <w:numPr>
          <w:ilvl w:val="0"/>
          <w:numId w:val="1017"/>
        </w:numPr>
      </w:pPr>
      <w:r>
        <w:t xml:space="preserve">Regional support teams.</w:t>
      </w:r>
    </w:p>
    <w:p>
      <w:pPr>
        <w:pStyle w:val="Compact"/>
        <w:numPr>
          <w:ilvl w:val="0"/>
          <w:numId w:val="1017"/>
        </w:numPr>
      </w:pPr>
      <w:r>
        <w:t xml:space="preserve">Knowledge base.</w:t>
      </w:r>
    </w:p>
    <w:p>
      <w:pPr>
        <w:pStyle w:val="Compact"/>
        <w:numPr>
          <w:ilvl w:val="0"/>
          <w:numId w:val="1017"/>
        </w:numPr>
      </w:pPr>
      <w:r>
        <w:t xml:space="preserve">User manuals.</w:t>
      </w:r>
    </w:p>
    <w:p>
      <w:pPr>
        <w:pStyle w:val="Compact"/>
        <w:numPr>
          <w:ilvl w:val="0"/>
          <w:numId w:val="1017"/>
        </w:numPr>
      </w:pPr>
      <w:r>
        <w:t xml:space="preserve">Online learning resources.</w:t>
      </w:r>
    </w:p>
    <w:p>
      <w:pPr>
        <w:pStyle w:val="Compact"/>
        <w:numPr>
          <w:ilvl w:val="0"/>
          <w:numId w:val="1017"/>
        </w:numPr>
      </w:pPr>
      <w:r>
        <w:t xml:space="preserve">Technical documentation.</w:t>
      </w:r>
    </w:p>
    <w:p>
      <w:pPr>
        <w:pStyle w:val="Compact"/>
        <w:numPr>
          <w:ilvl w:val="0"/>
          <w:numId w:val="1017"/>
        </w:numPr>
      </w:pPr>
      <w:r>
        <w:t xml:space="preserve">Incident management.</w:t>
      </w:r>
    </w:p>
    <w:p>
      <w:pPr>
        <w:pStyle w:val="FirstParagraph"/>
      </w:pPr>
      <w:r>
        <w:t xml:space="preserve">Support mechanisms evolve as user maturity increases.</w:t>
      </w:r>
    </w:p>
    <w:p>
      <w:r>
        <w:pict>
          <v:rect style="width:0;height:1.5pt" o:hralign="center" o:hrstd="t" o:hr="t"/>
        </w:pict>
      </w:r>
    </w:p>
    <w:bookmarkEnd w:id="49"/>
    <w:bookmarkStart w:id="50" w:name="monitoring-and-continuous-improvement"/>
    <w:p>
      <w:pPr>
        <w:pStyle w:val="Heading1"/>
      </w:pPr>
      <w:r>
        <w:t xml:space="preserve">22.11 Monitoring and Continuous Improvement</w:t>
      </w:r>
    </w:p>
    <w:p>
      <w:pPr>
        <w:pStyle w:val="FirstParagraph"/>
      </w:pPr>
      <w:r>
        <w:t xml:space="preserve">Implementation progress is monitored through:</w:t>
      </w:r>
    </w:p>
    <w:p>
      <w:pPr>
        <w:pStyle w:val="Compact"/>
        <w:numPr>
          <w:ilvl w:val="0"/>
          <w:numId w:val="1018"/>
        </w:numPr>
      </w:pPr>
      <w:r>
        <w:t xml:space="preserve">Adoption indicators.</w:t>
      </w:r>
    </w:p>
    <w:p>
      <w:pPr>
        <w:pStyle w:val="Compact"/>
        <w:numPr>
          <w:ilvl w:val="0"/>
          <w:numId w:val="1018"/>
        </w:numPr>
      </w:pPr>
      <w:r>
        <w:t xml:space="preserve">User feedback.</w:t>
      </w:r>
    </w:p>
    <w:p>
      <w:pPr>
        <w:pStyle w:val="Compact"/>
        <w:numPr>
          <w:ilvl w:val="0"/>
          <w:numId w:val="1018"/>
        </w:numPr>
      </w:pPr>
      <w:r>
        <w:t xml:space="preserve">Training effectiveness.</w:t>
      </w:r>
    </w:p>
    <w:p>
      <w:pPr>
        <w:pStyle w:val="Compact"/>
        <w:numPr>
          <w:ilvl w:val="0"/>
          <w:numId w:val="1018"/>
        </w:numPr>
      </w:pPr>
      <w:r>
        <w:t xml:space="preserve">System utilization.</w:t>
      </w:r>
    </w:p>
    <w:p>
      <w:pPr>
        <w:pStyle w:val="Compact"/>
        <w:numPr>
          <w:ilvl w:val="0"/>
          <w:numId w:val="1018"/>
        </w:numPr>
      </w:pPr>
      <w:r>
        <w:t xml:space="preserve">Operational performance.</w:t>
      </w:r>
    </w:p>
    <w:p>
      <w:pPr>
        <w:pStyle w:val="Compact"/>
        <w:numPr>
          <w:ilvl w:val="0"/>
          <w:numId w:val="1018"/>
        </w:numPr>
      </w:pPr>
      <w:r>
        <w:t xml:space="preserve">Lessons learned.</w:t>
      </w:r>
    </w:p>
    <w:p>
      <w:pPr>
        <w:pStyle w:val="Compact"/>
        <w:numPr>
          <w:ilvl w:val="0"/>
          <w:numId w:val="1018"/>
        </w:numPr>
      </w:pPr>
      <w:r>
        <w:t xml:space="preserve">Improvement plans.</w:t>
      </w:r>
    </w:p>
    <w:p>
      <w:pPr>
        <w:pStyle w:val="FirstParagraph"/>
      </w:pPr>
      <w:r>
        <w:t xml:space="preserve">This information supports adaptive programme management.</w:t>
      </w:r>
    </w:p>
    <w:p>
      <w:r>
        <w:pict>
          <v:rect style="width:0;height:1.5pt" o:hralign="center" o:hrstd="t" o:hr="t"/>
        </w:pict>
      </w:r>
    </w:p>
    <w:bookmarkEnd w:id="50"/>
    <w:bookmarkStart w:id="57" w:name="functional-requirements"/>
    <w:p>
      <w:pPr>
        <w:pStyle w:val="Heading1"/>
      </w:pPr>
      <w:r>
        <w:t xml:space="preserve">22.12 Functional Requirements</w:t>
      </w:r>
    </w:p>
    <w:bookmarkStart w:id="51" w:name="fr-imp-001"/>
    <w:p>
      <w:pPr>
        <w:pStyle w:val="Heading3"/>
      </w:pPr>
      <w:r>
        <w:t xml:space="preserve">FR-IMP-001</w:t>
      </w:r>
    </w:p>
    <w:p>
      <w:pPr>
        <w:pStyle w:val="FirstParagraph"/>
      </w:pPr>
      <w:r>
        <w:t xml:space="preserve">Support phased deployment planning.</w:t>
      </w:r>
    </w:p>
    <w:p>
      <w:r>
        <w:pict>
          <v:rect style="width:0;height:1.5pt" o:hralign="center" o:hrstd="t" o:hr="t"/>
        </w:pict>
      </w:r>
    </w:p>
    <w:bookmarkEnd w:id="51"/>
    <w:bookmarkStart w:id="52" w:name="fr-imp-002"/>
    <w:p>
      <w:pPr>
        <w:pStyle w:val="Heading3"/>
      </w:pPr>
      <w:r>
        <w:t xml:space="preserve">FR-IMP-002</w:t>
      </w:r>
    </w:p>
    <w:p>
      <w:pPr>
        <w:pStyle w:val="FirstParagraph"/>
      </w:pPr>
      <w:r>
        <w:t xml:space="preserve">Provide implementation monitoring dashboards.</w:t>
      </w:r>
    </w:p>
    <w:p>
      <w:r>
        <w:pict>
          <v:rect style="width:0;height:1.5pt" o:hralign="center" o:hrstd="t" o:hr="t"/>
        </w:pict>
      </w:r>
    </w:p>
    <w:bookmarkEnd w:id="52"/>
    <w:bookmarkStart w:id="53" w:name="fr-imp-003"/>
    <w:p>
      <w:pPr>
        <w:pStyle w:val="Heading3"/>
      </w:pPr>
      <w:r>
        <w:t xml:space="preserve">FR-IMP-003</w:t>
      </w:r>
    </w:p>
    <w:p>
      <w:pPr>
        <w:pStyle w:val="FirstParagraph"/>
      </w:pPr>
      <w:r>
        <w:t xml:space="preserve">Manage training programmes.</w:t>
      </w:r>
    </w:p>
    <w:p>
      <w:r>
        <w:pict>
          <v:rect style="width:0;height:1.5pt" o:hralign="center" o:hrstd="t" o:hr="t"/>
        </w:pict>
      </w:r>
    </w:p>
    <w:bookmarkEnd w:id="53"/>
    <w:bookmarkStart w:id="54" w:name="fr-imp-004"/>
    <w:p>
      <w:pPr>
        <w:pStyle w:val="Heading3"/>
      </w:pPr>
      <w:r>
        <w:t xml:space="preserve">FR-IMP-004</w:t>
      </w:r>
    </w:p>
    <w:p>
      <w:pPr>
        <w:pStyle w:val="FirstParagraph"/>
      </w:pPr>
      <w:r>
        <w:t xml:space="preserve">Support stakeholder communication.</w:t>
      </w:r>
    </w:p>
    <w:p>
      <w:r>
        <w:pict>
          <v:rect style="width:0;height:1.5pt" o:hralign="center" o:hrstd="t" o:hr="t"/>
        </w:pict>
      </w:r>
    </w:p>
    <w:bookmarkEnd w:id="54"/>
    <w:bookmarkStart w:id="55" w:name="fr-imp-005"/>
    <w:p>
      <w:pPr>
        <w:pStyle w:val="Heading3"/>
      </w:pPr>
      <w:r>
        <w:t xml:space="preserve">FR-IMP-005</w:t>
      </w:r>
    </w:p>
    <w:p>
      <w:pPr>
        <w:pStyle w:val="FirstParagraph"/>
      </w:pPr>
      <w:r>
        <w:t xml:space="preserve">Track implementation risks and issues.</w:t>
      </w:r>
    </w:p>
    <w:p>
      <w:r>
        <w:pict>
          <v:rect style="width:0;height:1.5pt" o:hralign="center" o:hrstd="t" o:hr="t"/>
        </w:pict>
      </w:r>
    </w:p>
    <w:bookmarkEnd w:id="55"/>
    <w:bookmarkStart w:id="56" w:name="fr-imp-006"/>
    <w:p>
      <w:pPr>
        <w:pStyle w:val="Heading3"/>
      </w:pPr>
      <w:r>
        <w:t xml:space="preserve">FR-IMP-006</w:t>
      </w:r>
    </w:p>
    <w:p>
      <w:pPr>
        <w:pStyle w:val="FirstParagraph"/>
      </w:pPr>
      <w:r>
        <w:t xml:space="preserve">Provide implementation performance reporting.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key-performance-indicators"/>
    <w:p>
      <w:pPr>
        <w:pStyle w:val="Heading1"/>
      </w:pPr>
      <w:r>
        <w:t xml:space="preserve">22.13 Key Performance Indicators</w:t>
      </w:r>
    </w:p>
    <w:p>
      <w:pPr>
        <w:pStyle w:val="FirstParagraph"/>
      </w:pPr>
      <w:r>
        <w:t xml:space="preserve">Illustrative indicators include:</w:t>
      </w:r>
    </w:p>
    <w:p>
      <w:pPr>
        <w:pStyle w:val="Compact"/>
        <w:numPr>
          <w:ilvl w:val="0"/>
          <w:numId w:val="1019"/>
        </w:numPr>
      </w:pPr>
      <w:r>
        <w:t xml:space="preserve">Percentage of planned deployments completed.</w:t>
      </w:r>
    </w:p>
    <w:p>
      <w:pPr>
        <w:pStyle w:val="Compact"/>
        <w:numPr>
          <w:ilvl w:val="0"/>
          <w:numId w:val="1019"/>
        </w:numPr>
      </w:pPr>
      <w:r>
        <w:t xml:space="preserve">User adoption rate.</w:t>
      </w:r>
    </w:p>
    <w:p>
      <w:pPr>
        <w:pStyle w:val="Compact"/>
        <w:numPr>
          <w:ilvl w:val="0"/>
          <w:numId w:val="1019"/>
        </w:numPr>
      </w:pPr>
      <w:r>
        <w:t xml:space="preserve">Training completion rate.</w:t>
      </w:r>
    </w:p>
    <w:p>
      <w:pPr>
        <w:pStyle w:val="Compact"/>
        <w:numPr>
          <w:ilvl w:val="0"/>
          <w:numId w:val="1019"/>
        </w:numPr>
      </w:pPr>
      <w:r>
        <w:t xml:space="preserve">User satisfaction.</w:t>
      </w:r>
    </w:p>
    <w:p>
      <w:pPr>
        <w:pStyle w:val="Compact"/>
        <w:numPr>
          <w:ilvl w:val="0"/>
          <w:numId w:val="1019"/>
        </w:numPr>
      </w:pPr>
      <w:r>
        <w:t xml:space="preserve">Helpdesk resolution time.</w:t>
      </w:r>
    </w:p>
    <w:p>
      <w:pPr>
        <w:pStyle w:val="Compact"/>
        <w:numPr>
          <w:ilvl w:val="0"/>
          <w:numId w:val="1019"/>
        </w:numPr>
      </w:pPr>
      <w:r>
        <w:t xml:space="preserve">System utilization.</w:t>
      </w:r>
    </w:p>
    <w:p>
      <w:pPr>
        <w:pStyle w:val="Compact"/>
        <w:numPr>
          <w:ilvl w:val="0"/>
          <w:numId w:val="1019"/>
        </w:numPr>
      </w:pPr>
      <w:r>
        <w:t xml:space="preserve">Implementation milestone achievement.</w:t>
      </w:r>
    </w:p>
    <w:p>
      <w:pPr>
        <w:pStyle w:val="Compact"/>
        <w:numPr>
          <w:ilvl w:val="0"/>
          <w:numId w:val="1019"/>
        </w:numPr>
      </w:pPr>
      <w:r>
        <w:t xml:space="preserve">Regional deployment progress.</w:t>
      </w:r>
    </w:p>
    <w:p>
      <w:r>
        <w:pict>
          <v:rect style="width:0;height:1.5pt" o:hralign="center" o:hrstd="t" o:hr="t"/>
        </w:pict>
      </w:r>
    </w:p>
    <w:bookmarkEnd w:id="58"/>
    <w:bookmarkStart w:id="59" w:name="expected-benefits"/>
    <w:p>
      <w:pPr>
        <w:pStyle w:val="Heading1"/>
      </w:pPr>
      <w:r>
        <w:t xml:space="preserve">22.14 Expected Benefits</w:t>
      </w:r>
    </w:p>
    <w:p>
      <w:pPr>
        <w:pStyle w:val="FirstParagraph"/>
      </w:pPr>
      <w:r>
        <w:t xml:space="preserve">The National Implementation, Change Management and Capacity Building Framework is expected to contribute to:</w:t>
      </w:r>
    </w:p>
    <w:p>
      <w:pPr>
        <w:pStyle w:val="Compact"/>
        <w:numPr>
          <w:ilvl w:val="0"/>
          <w:numId w:val="1020"/>
        </w:numPr>
      </w:pPr>
      <w:r>
        <w:t xml:space="preserve">Faster user adoption.</w:t>
      </w:r>
    </w:p>
    <w:p>
      <w:pPr>
        <w:pStyle w:val="Compact"/>
        <w:numPr>
          <w:ilvl w:val="0"/>
          <w:numId w:val="1020"/>
        </w:numPr>
      </w:pPr>
      <w:r>
        <w:t xml:space="preserve">Reduced implementation risk.</w:t>
      </w:r>
    </w:p>
    <w:p>
      <w:pPr>
        <w:pStyle w:val="Compact"/>
        <w:numPr>
          <w:ilvl w:val="0"/>
          <w:numId w:val="1020"/>
        </w:numPr>
      </w:pPr>
      <w:r>
        <w:t xml:space="preserve">Stronger institutional ownership.</w:t>
      </w:r>
    </w:p>
    <w:p>
      <w:pPr>
        <w:pStyle w:val="Compact"/>
        <w:numPr>
          <w:ilvl w:val="0"/>
          <w:numId w:val="1020"/>
        </w:numPr>
      </w:pPr>
      <w:r>
        <w:t xml:space="preserve">Improved operational readiness.</w:t>
      </w:r>
    </w:p>
    <w:p>
      <w:pPr>
        <w:pStyle w:val="Compact"/>
        <w:numPr>
          <w:ilvl w:val="0"/>
          <w:numId w:val="1020"/>
        </w:numPr>
      </w:pPr>
      <w:r>
        <w:t xml:space="preserve">Better stakeholder engagement.</w:t>
      </w:r>
    </w:p>
    <w:p>
      <w:pPr>
        <w:pStyle w:val="Compact"/>
        <w:numPr>
          <w:ilvl w:val="0"/>
          <w:numId w:val="1020"/>
        </w:numPr>
      </w:pPr>
      <w:r>
        <w:t xml:space="preserve">Sustainable platform utilization.</w:t>
      </w:r>
    </w:p>
    <w:p>
      <w:pPr>
        <w:pStyle w:val="Compact"/>
        <w:numPr>
          <w:ilvl w:val="0"/>
          <w:numId w:val="1020"/>
        </w:numPr>
      </w:pPr>
      <w:r>
        <w:t xml:space="preserve">Continuous organizational learning.</w:t>
      </w:r>
    </w:p>
    <w:p>
      <w:pPr>
        <w:pStyle w:val="FirstParagraph"/>
      </w:pPr>
      <w:r>
        <w:t xml:space="preserve">These outcomes depend on effective leadership, adequate resources, and sustained institutional commitment.</w:t>
      </w:r>
    </w:p>
    <w:p>
      <w:r>
        <w:pict>
          <v:rect style="width:0;height:1.5pt" o:hralign="center" o:hrstd="t" o:hr="t"/>
        </w:pict>
      </w:r>
    </w:p>
    <w:bookmarkEnd w:id="59"/>
    <w:bookmarkStart w:id="60" w:name="chapter-summary"/>
    <w:p>
      <w:pPr>
        <w:pStyle w:val="Heading1"/>
      </w:pPr>
      <w:r>
        <w:t xml:space="preserve">22.15 Chapter Summary</w:t>
      </w:r>
    </w:p>
    <w:p>
      <w:pPr>
        <w:pStyle w:val="FirstParagraph"/>
      </w:pPr>
      <w:r>
        <w:t xml:space="preserve">Successful digital transformation requires more than technical excellence.</w:t>
      </w:r>
    </w:p>
    <w:p>
      <w:pPr>
        <w:pStyle w:val="BodyText"/>
      </w:pPr>
      <w:r>
        <w:t xml:space="preserve">By combining phased implementation, institutional governance, stakeholder engagement, targeted capacity development, operational support, and continuous improvement, EduOS Cameroon provides a practical pathway for achieving sustainable nationwide adoption.</w:t>
      </w:r>
    </w:p>
    <w:p>
      <w:pPr>
        <w:pStyle w:val="BodyText"/>
      </w:pPr>
      <w:r>
        <w:t xml:space="preserve">This framework ensures that technology deployment is matched by organizational readiness, enabling the Ministry to realize the long-term benefits of a modern, integrated education digital public infrastructure.</w:t>
      </w:r>
    </w:p>
    <w:p>
      <w:pPr>
        <w:pStyle w:val="BodyText"/>
      </w:pPr>
      <w:r>
        <w:t xml:space="preserve">The next chapter presents the</w:t>
      </w:r>
      <w:r>
        <w:t xml:space="preserve"> </w:t>
      </w:r>
      <w:r>
        <w:rPr>
          <w:b/>
          <w:bCs/>
        </w:rPr>
        <w:t xml:space="preserve">National Programme Governance, Monitoring and Evaluation Framework</w:t>
      </w:r>
      <w:r>
        <w:t xml:space="preserve">, defining how programme performance, benefits realization, risks, and strategic outcomes will be measured throughout the lifecycle of EduOS Cameroon.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2026-07-10T14:22:36Z</dcterms:created>
  <dcterms:modified xsi:type="dcterms:W3CDTF">2026-07-10T14:22:36Z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