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3"/>
    <w:p>
      <w:pPr>
        <w:pStyle w:val="Heading1"/>
      </w:pPr>
      <w:r>
        <w:t xml:space="preserve">CHAPTER 23</w:t>
      </w:r>
    </w:p>
    <w:bookmarkEnd w:id="20"/>
    <w:bookmarkStart w:id="22" w:name="X3f8e33e71b0bc37f300effe05917e2c4433f5bb"/>
    <w:p>
      <w:pPr>
        <w:pStyle w:val="Heading1"/>
      </w:pPr>
      <w:r>
        <w:t xml:space="preserve">NATIONAL PROGRAMME GOVERNANCE, MONITORING, EVALUATION AND BENEFITS REALIZATION FRAMEWORK</w:t>
      </w:r>
    </w:p>
    <w:bookmarkStart w:id="21" w:name="introduction"/>
    <w:p>
      <w:pPr>
        <w:pStyle w:val="Heading2"/>
      </w:pPr>
      <w:r>
        <w:t xml:space="preserve">23.1 Introduction</w:t>
      </w:r>
    </w:p>
    <w:p>
      <w:pPr>
        <w:pStyle w:val="FirstParagraph"/>
      </w:pPr>
      <w:r>
        <w:t xml:space="preserve">The implementation of a national digital education programme requires structured governance, continuous performance monitoring, systematic evaluation, and transparent reporting.</w:t>
      </w:r>
    </w:p>
    <w:p>
      <w:pPr>
        <w:pStyle w:val="BodyText"/>
      </w:pPr>
      <w:r>
        <w:t xml:space="preserve">While technology provides the operational capability, governance ensures that investments remain aligned with national priorities, institutional responsibilities, and expected outcomes.</w:t>
      </w:r>
    </w:p>
    <w:p>
      <w:pPr>
        <w:pStyle w:val="BodyText"/>
      </w:pPr>
      <w:r>
        <w:t xml:space="preserve">EduOS Cameroon establishes a Programme Governance, Monitoring, Evaluation and Benefits Realization Framework that enables education authorities to oversee implementation, monitor progress, manage risks, evaluate performance, and demonstrate measurable value throughout the programme lifecycle.</w:t>
      </w:r>
    </w:p>
    <w:p>
      <w:r>
        <w:pict>
          <v:rect style="width:0;height:1.5pt" o:hralign="center" o:hrstd="t" o:hr="t"/>
        </w:pict>
      </w:r>
    </w:p>
    <w:bookmarkEnd w:id="21"/>
    <w:bookmarkEnd w:id="22"/>
    <w:bookmarkStart w:id="23" w:name="vision"/>
    <w:p>
      <w:pPr>
        <w:pStyle w:val="Heading1"/>
      </w:pPr>
      <w:r>
        <w:t xml:space="preserve">23.2 Vision</w:t>
      </w:r>
    </w:p>
    <w:p>
      <w:pPr>
        <w:pStyle w:val="FirstParagraph"/>
      </w:pPr>
      <w:r>
        <w:t xml:space="preserve">To establish a transparent governance framework that ensures EduOS Cameroon delivers sustainable educational, operational, and institutional benefits through continuous monitoring, evidence-based evaluation, and accountable programme management.</w:t>
      </w:r>
    </w:p>
    <w:p>
      <w:r>
        <w:pict>
          <v:rect style="width:0;height:1.5pt" o:hralign="center" o:hrstd="t" o:hr="t"/>
        </w:pict>
      </w:r>
    </w:p>
    <w:bookmarkEnd w:id="23"/>
    <w:bookmarkStart w:id="24" w:name="strategic-objectives"/>
    <w:p>
      <w:pPr>
        <w:pStyle w:val="Heading1"/>
      </w:pPr>
      <w:r>
        <w:t xml:space="preserve">23.3 Strategic Objectives</w:t>
      </w:r>
    </w:p>
    <w:p>
      <w:pPr>
        <w:pStyle w:val="FirstParagraph"/>
      </w:pPr>
      <w:r>
        <w:t xml:space="preserve">The framework seeks to:</w:t>
      </w:r>
    </w:p>
    <w:p>
      <w:pPr>
        <w:pStyle w:val="Compact"/>
        <w:numPr>
          <w:ilvl w:val="0"/>
          <w:numId w:val="1001"/>
        </w:numPr>
      </w:pPr>
      <w:r>
        <w:t xml:space="preserve">Strengthen programme governance.</w:t>
      </w:r>
    </w:p>
    <w:p>
      <w:pPr>
        <w:pStyle w:val="Compact"/>
        <w:numPr>
          <w:ilvl w:val="0"/>
          <w:numId w:val="1001"/>
        </w:numPr>
      </w:pPr>
      <w:r>
        <w:t xml:space="preserve">Improve accountability.</w:t>
      </w:r>
    </w:p>
    <w:p>
      <w:pPr>
        <w:pStyle w:val="Compact"/>
        <w:numPr>
          <w:ilvl w:val="0"/>
          <w:numId w:val="1001"/>
        </w:numPr>
      </w:pPr>
      <w:r>
        <w:t xml:space="preserve">Support evidence-based decision-making.</w:t>
      </w:r>
    </w:p>
    <w:p>
      <w:pPr>
        <w:pStyle w:val="Compact"/>
        <w:numPr>
          <w:ilvl w:val="0"/>
          <w:numId w:val="1001"/>
        </w:numPr>
      </w:pPr>
      <w:r>
        <w:t xml:space="preserve">Monitor implementation progress.</w:t>
      </w:r>
    </w:p>
    <w:p>
      <w:pPr>
        <w:pStyle w:val="Compact"/>
        <w:numPr>
          <w:ilvl w:val="0"/>
          <w:numId w:val="1001"/>
        </w:numPr>
      </w:pPr>
      <w:r>
        <w:t xml:space="preserve">Evaluate programme performance.</w:t>
      </w:r>
    </w:p>
    <w:p>
      <w:pPr>
        <w:pStyle w:val="Compact"/>
        <w:numPr>
          <w:ilvl w:val="0"/>
          <w:numId w:val="1001"/>
        </w:numPr>
      </w:pPr>
      <w:r>
        <w:t xml:space="preserve">Measure benefits realization.</w:t>
      </w:r>
    </w:p>
    <w:p>
      <w:pPr>
        <w:pStyle w:val="Compact"/>
        <w:numPr>
          <w:ilvl w:val="0"/>
          <w:numId w:val="1001"/>
        </w:numPr>
      </w:pPr>
      <w:r>
        <w:t xml:space="preserve">Improve transparency.</w:t>
      </w:r>
    </w:p>
    <w:p>
      <w:pPr>
        <w:pStyle w:val="Compact"/>
        <w:numPr>
          <w:ilvl w:val="0"/>
          <w:numId w:val="1001"/>
        </w:numPr>
      </w:pPr>
      <w:r>
        <w:t xml:space="preserve">Support continuous improvement.</w:t>
      </w:r>
    </w:p>
    <w:p>
      <w:r>
        <w:pict>
          <v:rect style="width:0;height:1.5pt" o:hralign="center" o:hrstd="t" o:hr="t"/>
        </w:pict>
      </w:r>
    </w:p>
    <w:bookmarkEnd w:id="24"/>
    <w:bookmarkStart w:id="29" w:name="governance-structure"/>
    <w:p>
      <w:pPr>
        <w:pStyle w:val="Heading1"/>
      </w:pPr>
      <w:r>
        <w:t xml:space="preserve">23.4 Governance Structure</w:t>
      </w:r>
    </w:p>
    <w:p>
      <w:pPr>
        <w:pStyle w:val="FirstParagraph"/>
      </w:pPr>
      <w:r>
        <w:t xml:space="preserve">Illustrative governance responsibilities include:</w:t>
      </w:r>
    </w:p>
    <w:bookmarkStart w:id="25" w:name="executive-steering-committee"/>
    <w:p>
      <w:pPr>
        <w:pStyle w:val="Heading3"/>
      </w:pPr>
      <w:r>
        <w:t xml:space="preserve">Executive Steering Committee</w:t>
      </w:r>
    </w:p>
    <w:p>
      <w:pPr>
        <w:pStyle w:val="FirstParagraph"/>
      </w:pPr>
      <w:r>
        <w:t xml:space="preserve">Responsible for:</w:t>
      </w:r>
    </w:p>
    <w:p>
      <w:pPr>
        <w:pStyle w:val="Compact"/>
        <w:numPr>
          <w:ilvl w:val="0"/>
          <w:numId w:val="1002"/>
        </w:numPr>
      </w:pPr>
      <w:r>
        <w:t xml:space="preserve">Strategic direction.</w:t>
      </w:r>
    </w:p>
    <w:p>
      <w:pPr>
        <w:pStyle w:val="Compact"/>
        <w:numPr>
          <w:ilvl w:val="0"/>
          <w:numId w:val="1002"/>
        </w:numPr>
      </w:pPr>
      <w:r>
        <w:t xml:space="preserve">Programme oversight.</w:t>
      </w:r>
    </w:p>
    <w:p>
      <w:pPr>
        <w:pStyle w:val="Compact"/>
        <w:numPr>
          <w:ilvl w:val="0"/>
          <w:numId w:val="1002"/>
        </w:numPr>
      </w:pPr>
      <w:r>
        <w:t xml:space="preserve">Policy alignment.</w:t>
      </w:r>
    </w:p>
    <w:p>
      <w:pPr>
        <w:pStyle w:val="Compact"/>
        <w:numPr>
          <w:ilvl w:val="0"/>
          <w:numId w:val="1002"/>
        </w:numPr>
      </w:pPr>
      <w:r>
        <w:t xml:space="preserve">Approval of major programme decisions.</w:t>
      </w:r>
    </w:p>
    <w:p>
      <w:r>
        <w:pict>
          <v:rect style="width:0;height:1.5pt" o:hralign="center" o:hrstd="t" o:hr="t"/>
        </w:pict>
      </w:r>
    </w:p>
    <w:bookmarkEnd w:id="25"/>
    <w:bookmarkStart w:id="26" w:name="programme-management-office-pmo"/>
    <w:p>
      <w:pPr>
        <w:pStyle w:val="Heading3"/>
      </w:pPr>
      <w:r>
        <w:t xml:space="preserve">Programme Management Office (PMO)</w:t>
      </w:r>
    </w:p>
    <w:p>
      <w:pPr>
        <w:pStyle w:val="FirstParagraph"/>
      </w:pPr>
      <w:r>
        <w:t xml:space="preserve">Responsible for:</w:t>
      </w:r>
    </w:p>
    <w:p>
      <w:pPr>
        <w:pStyle w:val="Compact"/>
        <w:numPr>
          <w:ilvl w:val="0"/>
          <w:numId w:val="1003"/>
        </w:numPr>
      </w:pPr>
      <w:r>
        <w:t xml:space="preserve">Day-to-day programme coordination.</w:t>
      </w:r>
    </w:p>
    <w:p>
      <w:pPr>
        <w:pStyle w:val="Compact"/>
        <w:numPr>
          <w:ilvl w:val="0"/>
          <w:numId w:val="1003"/>
        </w:numPr>
      </w:pPr>
      <w:r>
        <w:t xml:space="preserve">Performance monitoring.</w:t>
      </w:r>
    </w:p>
    <w:p>
      <w:pPr>
        <w:pStyle w:val="Compact"/>
        <w:numPr>
          <w:ilvl w:val="0"/>
          <w:numId w:val="1003"/>
        </w:numPr>
      </w:pPr>
      <w:r>
        <w:t xml:space="preserve">Risk management.</w:t>
      </w:r>
    </w:p>
    <w:p>
      <w:pPr>
        <w:pStyle w:val="Compact"/>
        <w:numPr>
          <w:ilvl w:val="0"/>
          <w:numId w:val="1003"/>
        </w:numPr>
      </w:pPr>
      <w:r>
        <w:t xml:space="preserve">Reporting.</w:t>
      </w:r>
    </w:p>
    <w:p>
      <w:pPr>
        <w:pStyle w:val="Compact"/>
        <w:numPr>
          <w:ilvl w:val="0"/>
          <w:numId w:val="1003"/>
        </w:numPr>
      </w:pPr>
      <w:r>
        <w:t xml:space="preserve">Stakeholder coordination.</w:t>
      </w:r>
    </w:p>
    <w:p>
      <w:r>
        <w:pict>
          <v:rect style="width:0;height:1.5pt" o:hralign="center" o:hrstd="t" o:hr="t"/>
        </w:pict>
      </w:r>
    </w:p>
    <w:bookmarkEnd w:id="26"/>
    <w:bookmarkStart w:id="27" w:name="technical-advisory-committee"/>
    <w:p>
      <w:pPr>
        <w:pStyle w:val="Heading3"/>
      </w:pPr>
      <w:r>
        <w:t xml:space="preserve">Technical Advisory Committee</w:t>
      </w:r>
    </w:p>
    <w:p>
      <w:pPr>
        <w:pStyle w:val="FirstParagraph"/>
      </w:pPr>
      <w:r>
        <w:t xml:space="preserve">Responsible for:</w:t>
      </w:r>
    </w:p>
    <w:p>
      <w:pPr>
        <w:pStyle w:val="Compact"/>
        <w:numPr>
          <w:ilvl w:val="0"/>
          <w:numId w:val="1004"/>
        </w:numPr>
      </w:pPr>
      <w:r>
        <w:t xml:space="preserve">Technical standards.</w:t>
      </w:r>
    </w:p>
    <w:p>
      <w:pPr>
        <w:pStyle w:val="Compact"/>
        <w:numPr>
          <w:ilvl w:val="0"/>
          <w:numId w:val="1004"/>
        </w:numPr>
      </w:pPr>
      <w:r>
        <w:t xml:space="preserve">Architecture oversight.</w:t>
      </w:r>
    </w:p>
    <w:p>
      <w:pPr>
        <w:pStyle w:val="Compact"/>
        <w:numPr>
          <w:ilvl w:val="0"/>
          <w:numId w:val="1004"/>
        </w:numPr>
      </w:pPr>
      <w:r>
        <w:t xml:space="preserve">Quality assurance.</w:t>
      </w:r>
    </w:p>
    <w:p>
      <w:pPr>
        <w:pStyle w:val="Compact"/>
        <w:numPr>
          <w:ilvl w:val="0"/>
          <w:numId w:val="1004"/>
        </w:numPr>
      </w:pPr>
      <w:r>
        <w:t xml:space="preserve">Interoperability guidance.</w:t>
      </w:r>
    </w:p>
    <w:p>
      <w:r>
        <w:pict>
          <v:rect style="width:0;height:1.5pt" o:hralign="center" o:hrstd="t" o:hr="t"/>
        </w:pict>
      </w:r>
    </w:p>
    <w:bookmarkEnd w:id="27"/>
    <w:bookmarkStart w:id="28" w:name="regional-governance-teams"/>
    <w:p>
      <w:pPr>
        <w:pStyle w:val="Heading3"/>
      </w:pPr>
      <w:r>
        <w:t xml:space="preserve">Regional Governance Teams</w:t>
      </w:r>
    </w:p>
    <w:p>
      <w:pPr>
        <w:pStyle w:val="FirstParagraph"/>
      </w:pPr>
      <w:r>
        <w:t xml:space="preserve">Responsible for:</w:t>
      </w:r>
    </w:p>
    <w:p>
      <w:pPr>
        <w:pStyle w:val="Compact"/>
        <w:numPr>
          <w:ilvl w:val="0"/>
          <w:numId w:val="1005"/>
        </w:numPr>
      </w:pPr>
      <w:r>
        <w:t xml:space="preserve">Regional implementation oversight.</w:t>
      </w:r>
    </w:p>
    <w:p>
      <w:pPr>
        <w:pStyle w:val="Compact"/>
        <w:numPr>
          <w:ilvl w:val="0"/>
          <w:numId w:val="1005"/>
        </w:numPr>
      </w:pPr>
      <w:r>
        <w:t xml:space="preserve">Operational coordination.</w:t>
      </w:r>
    </w:p>
    <w:p>
      <w:pPr>
        <w:pStyle w:val="Compact"/>
        <w:numPr>
          <w:ilvl w:val="0"/>
          <w:numId w:val="1005"/>
        </w:numPr>
      </w:pPr>
      <w:r>
        <w:t xml:space="preserve">User engagement.</w:t>
      </w:r>
    </w:p>
    <w:p>
      <w:pPr>
        <w:pStyle w:val="Compact"/>
        <w:numPr>
          <w:ilvl w:val="0"/>
          <w:numId w:val="1005"/>
        </w:numPr>
      </w:pPr>
      <w:r>
        <w:t xml:space="preserve">Performance monitoring.</w:t>
      </w:r>
    </w:p>
    <w:p>
      <w:r>
        <w:pict>
          <v:rect style="width:0;height:1.5pt" o:hralign="center" o:hrstd="t" o:hr="t"/>
        </w:pict>
      </w:r>
    </w:p>
    <w:bookmarkEnd w:id="28"/>
    <w:bookmarkEnd w:id="29"/>
    <w:bookmarkStart w:id="30" w:name="monitoring-framework"/>
    <w:p>
      <w:pPr>
        <w:pStyle w:val="Heading1"/>
      </w:pPr>
      <w:r>
        <w:t xml:space="preserve">23.5 Monitoring Framework</w:t>
      </w:r>
    </w:p>
    <w:p>
      <w:pPr>
        <w:pStyle w:val="FirstParagraph"/>
      </w:pPr>
      <w:r>
        <w:t xml:space="preserve">Programme monitoring includes:</w:t>
      </w:r>
    </w:p>
    <w:p>
      <w:pPr>
        <w:pStyle w:val="Compact"/>
        <w:numPr>
          <w:ilvl w:val="0"/>
          <w:numId w:val="1006"/>
        </w:numPr>
      </w:pPr>
      <w:r>
        <w:t xml:space="preserve">Implementation progress.</w:t>
      </w:r>
    </w:p>
    <w:p>
      <w:pPr>
        <w:pStyle w:val="Compact"/>
        <w:numPr>
          <w:ilvl w:val="0"/>
          <w:numId w:val="1006"/>
        </w:numPr>
      </w:pPr>
      <w:r>
        <w:t xml:space="preserve">Operational performance.</w:t>
      </w:r>
    </w:p>
    <w:p>
      <w:pPr>
        <w:pStyle w:val="Compact"/>
        <w:numPr>
          <w:ilvl w:val="0"/>
          <w:numId w:val="1006"/>
        </w:numPr>
      </w:pPr>
      <w:r>
        <w:t xml:space="preserve">User adoption.</w:t>
      </w:r>
    </w:p>
    <w:p>
      <w:pPr>
        <w:pStyle w:val="Compact"/>
        <w:numPr>
          <w:ilvl w:val="0"/>
          <w:numId w:val="1006"/>
        </w:numPr>
      </w:pPr>
      <w:r>
        <w:t xml:space="preserve">System utilization.</w:t>
      </w:r>
    </w:p>
    <w:p>
      <w:pPr>
        <w:pStyle w:val="Compact"/>
        <w:numPr>
          <w:ilvl w:val="0"/>
          <w:numId w:val="1006"/>
        </w:numPr>
      </w:pPr>
      <w:r>
        <w:t xml:space="preserve">Financial performance (where applicable).</w:t>
      </w:r>
    </w:p>
    <w:p>
      <w:pPr>
        <w:pStyle w:val="Compact"/>
        <w:numPr>
          <w:ilvl w:val="0"/>
          <w:numId w:val="1006"/>
        </w:numPr>
      </w:pPr>
      <w:r>
        <w:t xml:space="preserve">Risk status.</w:t>
      </w:r>
    </w:p>
    <w:p>
      <w:pPr>
        <w:pStyle w:val="Compact"/>
        <w:numPr>
          <w:ilvl w:val="0"/>
          <w:numId w:val="1006"/>
        </w:numPr>
      </w:pPr>
      <w:r>
        <w:t xml:space="preserve">Quality indicators.</w:t>
      </w:r>
    </w:p>
    <w:p>
      <w:pPr>
        <w:pStyle w:val="Compact"/>
        <w:numPr>
          <w:ilvl w:val="0"/>
          <w:numId w:val="1006"/>
        </w:numPr>
      </w:pPr>
      <w:r>
        <w:t xml:space="preserve">Service availability.</w:t>
      </w:r>
    </w:p>
    <w:p>
      <w:pPr>
        <w:pStyle w:val="FirstParagraph"/>
      </w:pPr>
      <w:r>
        <w:t xml:space="preserve">Monitoring information supports timely corrective action.</w:t>
      </w:r>
    </w:p>
    <w:p>
      <w:r>
        <w:pict>
          <v:rect style="width:0;height:1.5pt" o:hralign="center" o:hrstd="t" o:hr="t"/>
        </w:pict>
      </w:r>
    </w:p>
    <w:bookmarkEnd w:id="30"/>
    <w:bookmarkStart w:id="36" w:name="evaluation-framework"/>
    <w:p>
      <w:pPr>
        <w:pStyle w:val="Heading1"/>
      </w:pPr>
      <w:r>
        <w:t xml:space="preserve">23.6 Evaluation Framework</w:t>
      </w:r>
    </w:p>
    <w:p>
      <w:pPr>
        <w:pStyle w:val="FirstParagraph"/>
      </w:pPr>
      <w:r>
        <w:t xml:space="preserve">Evaluation considers multiple dimensions.</w:t>
      </w:r>
    </w:p>
    <w:bookmarkStart w:id="31" w:name="relevance"/>
    <w:p>
      <w:pPr>
        <w:pStyle w:val="Heading3"/>
      </w:pPr>
      <w:r>
        <w:t xml:space="preserve">Relevance</w:t>
      </w:r>
    </w:p>
    <w:p>
      <w:pPr>
        <w:pStyle w:val="FirstParagraph"/>
      </w:pPr>
      <w:r>
        <w:t xml:space="preserve">Does the programme continue to address priority education needs?</w:t>
      </w:r>
    </w:p>
    <w:p>
      <w:r>
        <w:pict>
          <v:rect style="width:0;height:1.5pt" o:hralign="center" o:hrstd="t" o:hr="t"/>
        </w:pict>
      </w:r>
    </w:p>
    <w:bookmarkEnd w:id="31"/>
    <w:bookmarkStart w:id="32" w:name="effectiveness"/>
    <w:p>
      <w:pPr>
        <w:pStyle w:val="Heading3"/>
      </w:pPr>
      <w:r>
        <w:t xml:space="preserve">Effectiveness</w:t>
      </w:r>
    </w:p>
    <w:p>
      <w:pPr>
        <w:pStyle w:val="FirstParagraph"/>
      </w:pPr>
      <w:r>
        <w:t xml:space="preserve">Are programme objectives being achieved?</w:t>
      </w:r>
    </w:p>
    <w:p>
      <w:r>
        <w:pict>
          <v:rect style="width:0;height:1.5pt" o:hralign="center" o:hrstd="t" o:hr="t"/>
        </w:pict>
      </w:r>
    </w:p>
    <w:bookmarkEnd w:id="32"/>
    <w:bookmarkStart w:id="33" w:name="efficiency"/>
    <w:p>
      <w:pPr>
        <w:pStyle w:val="Heading3"/>
      </w:pPr>
      <w:r>
        <w:t xml:space="preserve">Efficiency</w:t>
      </w:r>
    </w:p>
    <w:p>
      <w:pPr>
        <w:pStyle w:val="FirstParagraph"/>
      </w:pPr>
      <w:r>
        <w:t xml:space="preserve">Are resources being used appropriately?</w:t>
      </w:r>
    </w:p>
    <w:p>
      <w:r>
        <w:pict>
          <v:rect style="width:0;height:1.5pt" o:hralign="center" o:hrstd="t" o:hr="t"/>
        </w:pict>
      </w:r>
    </w:p>
    <w:bookmarkEnd w:id="33"/>
    <w:bookmarkStart w:id="34" w:name="sustainability"/>
    <w:p>
      <w:pPr>
        <w:pStyle w:val="Heading3"/>
      </w:pPr>
      <w:r>
        <w:t xml:space="preserve">Sustainability</w:t>
      </w:r>
    </w:p>
    <w:p>
      <w:pPr>
        <w:pStyle w:val="FirstParagraph"/>
      </w:pPr>
      <w:r>
        <w:t xml:space="preserve">Can programme benefits be maintained over time?</w:t>
      </w:r>
    </w:p>
    <w:p>
      <w:r>
        <w:pict>
          <v:rect style="width:0;height:1.5pt" o:hralign="center" o:hrstd="t" o:hr="t"/>
        </w:pict>
      </w:r>
    </w:p>
    <w:bookmarkEnd w:id="34"/>
    <w:bookmarkStart w:id="35" w:name="impact"/>
    <w:p>
      <w:pPr>
        <w:pStyle w:val="Heading3"/>
      </w:pPr>
      <w:r>
        <w:t xml:space="preserve">Impact</w:t>
      </w:r>
    </w:p>
    <w:p>
      <w:pPr>
        <w:pStyle w:val="FirstParagraph"/>
      </w:pPr>
      <w:r>
        <w:t xml:space="preserve">How has the programme contributed to education service delivery and governance?</w:t>
      </w:r>
    </w:p>
    <w:p>
      <w:r>
        <w:pict>
          <v:rect style="width:0;height:1.5pt" o:hralign="center" o:hrstd="t" o:hr="t"/>
        </w:pict>
      </w:r>
    </w:p>
    <w:bookmarkEnd w:id="35"/>
    <w:bookmarkEnd w:id="36"/>
    <w:bookmarkStart w:id="41" w:name="benefits-realization-framework"/>
    <w:p>
      <w:pPr>
        <w:pStyle w:val="Heading1"/>
      </w:pPr>
      <w:r>
        <w:t xml:space="preserve">23.7 Benefits Realization Framework</w:t>
      </w:r>
    </w:p>
    <w:p>
      <w:pPr>
        <w:pStyle w:val="FirstParagraph"/>
      </w:pPr>
      <w:r>
        <w:t xml:space="preserve">EduOS Cameroon focuses on measurable improvements rather than technology deployment alone.</w:t>
      </w:r>
    </w:p>
    <w:p>
      <w:pPr>
        <w:pStyle w:val="BodyText"/>
      </w:pPr>
      <w:r>
        <w:t xml:space="preserve">Illustrative benefit areas include:</w:t>
      </w:r>
    </w:p>
    <w:bookmarkStart w:id="37" w:name="resource-management"/>
    <w:p>
      <w:pPr>
        <w:pStyle w:val="Heading3"/>
      </w:pPr>
      <w:r>
        <w:t xml:space="preserve">Resource Management</w:t>
      </w:r>
    </w:p>
    <w:p>
      <w:pPr>
        <w:pStyle w:val="Compact"/>
        <w:numPr>
          <w:ilvl w:val="0"/>
          <w:numId w:val="1007"/>
        </w:numPr>
      </w:pPr>
      <w:r>
        <w:t xml:space="preserve">Improved textbook availability.</w:t>
      </w:r>
    </w:p>
    <w:p>
      <w:pPr>
        <w:pStyle w:val="Compact"/>
        <w:numPr>
          <w:ilvl w:val="0"/>
          <w:numId w:val="1007"/>
        </w:numPr>
      </w:pPr>
      <w:r>
        <w:t xml:space="preserve">Improved inventory accuracy.</w:t>
      </w:r>
    </w:p>
    <w:p>
      <w:pPr>
        <w:pStyle w:val="Compact"/>
        <w:numPr>
          <w:ilvl w:val="0"/>
          <w:numId w:val="1007"/>
        </w:numPr>
      </w:pPr>
      <w:r>
        <w:t xml:space="preserve">Better asset visibility.</w:t>
      </w:r>
    </w:p>
    <w:p>
      <w:pPr>
        <w:pStyle w:val="Compact"/>
        <w:numPr>
          <w:ilvl w:val="0"/>
          <w:numId w:val="1007"/>
        </w:numPr>
      </w:pPr>
      <w:r>
        <w:t xml:space="preserve">Reduced avoidable losses.</w:t>
      </w:r>
    </w:p>
    <w:p>
      <w:r>
        <w:pict>
          <v:rect style="width:0;height:1.5pt" o:hralign="center" o:hrstd="t" o:hr="t"/>
        </w:pict>
      </w:r>
    </w:p>
    <w:bookmarkEnd w:id="37"/>
    <w:bookmarkStart w:id="38" w:name="operational-performance"/>
    <w:p>
      <w:pPr>
        <w:pStyle w:val="Heading3"/>
      </w:pPr>
      <w:r>
        <w:t xml:space="preserve">Operational Performance</w:t>
      </w:r>
    </w:p>
    <w:p>
      <w:pPr>
        <w:pStyle w:val="Compact"/>
        <w:numPr>
          <w:ilvl w:val="0"/>
          <w:numId w:val="1008"/>
        </w:numPr>
      </w:pPr>
      <w:r>
        <w:t xml:space="preserve">Faster distribution.</w:t>
      </w:r>
    </w:p>
    <w:p>
      <w:pPr>
        <w:pStyle w:val="Compact"/>
        <w:numPr>
          <w:ilvl w:val="0"/>
          <w:numId w:val="1008"/>
        </w:numPr>
      </w:pPr>
      <w:r>
        <w:t xml:space="preserve">Improved inspection efficiency.</w:t>
      </w:r>
    </w:p>
    <w:p>
      <w:pPr>
        <w:pStyle w:val="Compact"/>
        <w:numPr>
          <w:ilvl w:val="0"/>
          <w:numId w:val="1008"/>
        </w:numPr>
      </w:pPr>
      <w:r>
        <w:t xml:space="preserve">Reduced reporting time.</w:t>
      </w:r>
    </w:p>
    <w:p>
      <w:pPr>
        <w:pStyle w:val="Compact"/>
        <w:numPr>
          <w:ilvl w:val="0"/>
          <w:numId w:val="1008"/>
        </w:numPr>
      </w:pPr>
      <w:r>
        <w:t xml:space="preserve">Improved decision support.</w:t>
      </w:r>
    </w:p>
    <w:p>
      <w:r>
        <w:pict>
          <v:rect style="width:0;height:1.5pt" o:hralign="center" o:hrstd="t" o:hr="t"/>
        </w:pict>
      </w:r>
    </w:p>
    <w:bookmarkEnd w:id="38"/>
    <w:bookmarkStart w:id="39" w:name="governance"/>
    <w:p>
      <w:pPr>
        <w:pStyle w:val="Heading3"/>
      </w:pPr>
      <w:r>
        <w:t xml:space="preserve">Governance</w:t>
      </w:r>
    </w:p>
    <w:p>
      <w:pPr>
        <w:pStyle w:val="Compact"/>
        <w:numPr>
          <w:ilvl w:val="0"/>
          <w:numId w:val="1009"/>
        </w:numPr>
      </w:pPr>
      <w:r>
        <w:t xml:space="preserve">Greater transparency.</w:t>
      </w:r>
    </w:p>
    <w:p>
      <w:pPr>
        <w:pStyle w:val="Compact"/>
        <w:numPr>
          <w:ilvl w:val="0"/>
          <w:numId w:val="1009"/>
        </w:numPr>
      </w:pPr>
      <w:r>
        <w:t xml:space="preserve">Stronger accountability.</w:t>
      </w:r>
    </w:p>
    <w:p>
      <w:pPr>
        <w:pStyle w:val="Compact"/>
        <w:numPr>
          <w:ilvl w:val="0"/>
          <w:numId w:val="1009"/>
        </w:numPr>
      </w:pPr>
      <w:r>
        <w:t xml:space="preserve">Better audit readiness.</w:t>
      </w:r>
    </w:p>
    <w:p>
      <w:pPr>
        <w:pStyle w:val="Compact"/>
        <w:numPr>
          <w:ilvl w:val="0"/>
          <w:numId w:val="1009"/>
        </w:numPr>
      </w:pPr>
      <w:r>
        <w:t xml:space="preserve">Improved policy implementation.</w:t>
      </w:r>
    </w:p>
    <w:p>
      <w:r>
        <w:pict>
          <v:rect style="width:0;height:1.5pt" o:hralign="center" o:hrstd="t" o:hr="t"/>
        </w:pict>
      </w:r>
    </w:p>
    <w:bookmarkEnd w:id="39"/>
    <w:bookmarkStart w:id="40" w:name="institutional-capacity"/>
    <w:p>
      <w:pPr>
        <w:pStyle w:val="Heading3"/>
      </w:pPr>
      <w:r>
        <w:t xml:space="preserve">Institutional Capacity</w:t>
      </w:r>
    </w:p>
    <w:p>
      <w:pPr>
        <w:pStyle w:val="Compact"/>
        <w:numPr>
          <w:ilvl w:val="0"/>
          <w:numId w:val="1010"/>
        </w:numPr>
      </w:pPr>
      <w:r>
        <w:t xml:space="preserve">Increased digital adoption.</w:t>
      </w:r>
    </w:p>
    <w:p>
      <w:pPr>
        <w:pStyle w:val="Compact"/>
        <w:numPr>
          <w:ilvl w:val="0"/>
          <w:numId w:val="1010"/>
        </w:numPr>
      </w:pPr>
      <w:r>
        <w:t xml:space="preserve">Improved staff productivity.</w:t>
      </w:r>
    </w:p>
    <w:p>
      <w:pPr>
        <w:pStyle w:val="Compact"/>
        <w:numPr>
          <w:ilvl w:val="0"/>
          <w:numId w:val="1010"/>
        </w:numPr>
      </w:pPr>
      <w:r>
        <w:t xml:space="preserve">Better collaboration.</w:t>
      </w:r>
    </w:p>
    <w:p>
      <w:pPr>
        <w:pStyle w:val="Compact"/>
        <w:numPr>
          <w:ilvl w:val="0"/>
          <w:numId w:val="1010"/>
        </w:numPr>
      </w:pPr>
      <w:r>
        <w:t xml:space="preserve">Stronger operational resilience.</w:t>
      </w:r>
    </w:p>
    <w:p>
      <w:r>
        <w:pict>
          <v:rect style="width:0;height:1.5pt" o:hralign="center" o:hrstd="t" o:hr="t"/>
        </w:pict>
      </w:r>
    </w:p>
    <w:bookmarkEnd w:id="40"/>
    <w:bookmarkEnd w:id="41"/>
    <w:bookmarkStart w:id="42" w:name="performance-measurement"/>
    <w:p>
      <w:pPr>
        <w:pStyle w:val="Heading1"/>
      </w:pPr>
      <w:r>
        <w:t xml:space="preserve">23.8 Performance Measurement</w:t>
      </w:r>
    </w:p>
    <w:p>
      <w:pPr>
        <w:pStyle w:val="FirstParagraph"/>
      </w:pPr>
      <w:r>
        <w:t xml:space="preserve">Illustrative performance dimensions include:</w:t>
      </w:r>
    </w:p>
    <w:p>
      <w:pPr>
        <w:pStyle w:val="BodyText"/>
      </w:pPr>
      <w:r>
        <w:rPr>
          <w:rStyle w:val="VerbatimChar"/>
        </w:rPr>
        <w:t xml:space="preserve">text id="gov001" Inputs     │     ▼ Activities     │     ▼ Outputs     │     ▼ Outcomes     │     ▼ Long-Term Impact</w:t>
      </w:r>
    </w:p>
    <w:p>
      <w:pPr>
        <w:pStyle w:val="BodyText"/>
      </w:pPr>
      <w:r>
        <w:t xml:space="preserve">This results chain supports structured programme evaluation over time.</w:t>
      </w:r>
    </w:p>
    <w:p>
      <w:r>
        <w:pict>
          <v:rect style="width:0;height:1.5pt" o:hralign="center" o:hrstd="t" o:hr="t"/>
        </w:pict>
      </w:r>
    </w:p>
    <w:bookmarkEnd w:id="42"/>
    <w:bookmarkStart w:id="43" w:name="risk-management"/>
    <w:p>
      <w:pPr>
        <w:pStyle w:val="Heading1"/>
      </w:pPr>
      <w:r>
        <w:t xml:space="preserve">23.9 Risk Management</w:t>
      </w:r>
    </w:p>
    <w:p>
      <w:pPr>
        <w:pStyle w:val="FirstParagraph"/>
      </w:pPr>
      <w:r>
        <w:t xml:space="preserve">Programme risks are managed through:</w:t>
      </w:r>
    </w:p>
    <w:p>
      <w:pPr>
        <w:pStyle w:val="Compact"/>
        <w:numPr>
          <w:ilvl w:val="0"/>
          <w:numId w:val="1011"/>
        </w:numPr>
      </w:pPr>
      <w:r>
        <w:t xml:space="preserve">Risk identification.</w:t>
      </w:r>
    </w:p>
    <w:p>
      <w:pPr>
        <w:pStyle w:val="Compact"/>
        <w:numPr>
          <w:ilvl w:val="0"/>
          <w:numId w:val="1011"/>
        </w:numPr>
      </w:pPr>
      <w:r>
        <w:t xml:space="preserve">Risk assessment.</w:t>
      </w:r>
    </w:p>
    <w:p>
      <w:pPr>
        <w:pStyle w:val="Compact"/>
        <w:numPr>
          <w:ilvl w:val="0"/>
          <w:numId w:val="1011"/>
        </w:numPr>
      </w:pPr>
      <w:r>
        <w:t xml:space="preserve">Mitigation planning.</w:t>
      </w:r>
    </w:p>
    <w:p>
      <w:pPr>
        <w:pStyle w:val="Compact"/>
        <w:numPr>
          <w:ilvl w:val="0"/>
          <w:numId w:val="1011"/>
        </w:numPr>
      </w:pPr>
      <w:r>
        <w:t xml:space="preserve">Continuous monitoring.</w:t>
      </w:r>
    </w:p>
    <w:p>
      <w:pPr>
        <w:pStyle w:val="Compact"/>
        <w:numPr>
          <w:ilvl w:val="0"/>
          <w:numId w:val="1011"/>
        </w:numPr>
      </w:pPr>
      <w:r>
        <w:t xml:space="preserve">Escalation procedures.</w:t>
      </w:r>
    </w:p>
    <w:p>
      <w:pPr>
        <w:pStyle w:val="Compact"/>
        <w:numPr>
          <w:ilvl w:val="0"/>
          <w:numId w:val="1011"/>
        </w:numPr>
      </w:pPr>
      <w:r>
        <w:t xml:space="preserve">Periodic review.</w:t>
      </w:r>
    </w:p>
    <w:p>
      <w:pPr>
        <w:pStyle w:val="FirstParagraph"/>
      </w:pPr>
      <w:r>
        <w:t xml:space="preserve">Illustrative risk categories include:</w:t>
      </w:r>
    </w:p>
    <w:p>
      <w:pPr>
        <w:pStyle w:val="Compact"/>
        <w:numPr>
          <w:ilvl w:val="0"/>
          <w:numId w:val="1012"/>
        </w:numPr>
      </w:pPr>
      <w:r>
        <w:t xml:space="preserve">Technical.</w:t>
      </w:r>
    </w:p>
    <w:p>
      <w:pPr>
        <w:pStyle w:val="Compact"/>
        <w:numPr>
          <w:ilvl w:val="0"/>
          <w:numId w:val="1012"/>
        </w:numPr>
      </w:pPr>
      <w:r>
        <w:t xml:space="preserve">Operational.</w:t>
      </w:r>
    </w:p>
    <w:p>
      <w:pPr>
        <w:pStyle w:val="Compact"/>
        <w:numPr>
          <w:ilvl w:val="0"/>
          <w:numId w:val="1012"/>
        </w:numPr>
      </w:pPr>
      <w:r>
        <w:t xml:space="preserve">Financial.</w:t>
      </w:r>
    </w:p>
    <w:p>
      <w:pPr>
        <w:pStyle w:val="Compact"/>
        <w:numPr>
          <w:ilvl w:val="0"/>
          <w:numId w:val="1012"/>
        </w:numPr>
      </w:pPr>
      <w:r>
        <w:t xml:space="preserve">Organizational.</w:t>
      </w:r>
    </w:p>
    <w:p>
      <w:pPr>
        <w:pStyle w:val="Compact"/>
        <w:numPr>
          <w:ilvl w:val="0"/>
          <w:numId w:val="1012"/>
        </w:numPr>
      </w:pPr>
      <w:r>
        <w:t xml:space="preserve">Cybersecurity.</w:t>
      </w:r>
    </w:p>
    <w:p>
      <w:pPr>
        <w:pStyle w:val="Compact"/>
        <w:numPr>
          <w:ilvl w:val="0"/>
          <w:numId w:val="1012"/>
        </w:numPr>
      </w:pPr>
      <w:r>
        <w:t xml:space="preserve">Regulatory.</w:t>
      </w:r>
    </w:p>
    <w:p>
      <w:pPr>
        <w:pStyle w:val="Compact"/>
        <w:numPr>
          <w:ilvl w:val="0"/>
          <w:numId w:val="1012"/>
        </w:numPr>
      </w:pPr>
      <w:r>
        <w:t xml:space="preserve">External environmental factors.</w:t>
      </w:r>
    </w:p>
    <w:p>
      <w:r>
        <w:pict>
          <v:rect style="width:0;height:1.5pt" o:hralign="center" o:hrstd="t" o:hr="t"/>
        </w:pict>
      </w:r>
    </w:p>
    <w:bookmarkEnd w:id="43"/>
    <w:bookmarkStart w:id="48" w:name="reporting-framework"/>
    <w:p>
      <w:pPr>
        <w:pStyle w:val="Heading1"/>
      </w:pPr>
      <w:r>
        <w:t xml:space="preserve">23.10 Reporting Framework</w:t>
      </w:r>
    </w:p>
    <w:p>
      <w:pPr>
        <w:pStyle w:val="FirstParagraph"/>
      </w:pPr>
      <w:r>
        <w:t xml:space="preserve">Reporting supports different stakeholder groups.</w:t>
      </w:r>
    </w:p>
    <w:bookmarkStart w:id="44" w:name="executive-reports"/>
    <w:p>
      <w:pPr>
        <w:pStyle w:val="Heading3"/>
      </w:pPr>
      <w:r>
        <w:t xml:space="preserve">Executive Reports</w:t>
      </w:r>
    </w:p>
    <w:p>
      <w:pPr>
        <w:pStyle w:val="FirstParagraph"/>
      </w:pPr>
      <w:r>
        <w:t xml:space="preserve">Provide strategic summaries for senior leadership.</w:t>
      </w:r>
    </w:p>
    <w:p>
      <w:r>
        <w:pict>
          <v:rect style="width:0;height:1.5pt" o:hralign="center" o:hrstd="t" o:hr="t"/>
        </w:pict>
      </w:r>
    </w:p>
    <w:bookmarkEnd w:id="44"/>
    <w:bookmarkStart w:id="45" w:name="operational-reports"/>
    <w:p>
      <w:pPr>
        <w:pStyle w:val="Heading3"/>
      </w:pPr>
      <w:r>
        <w:t xml:space="preserve">Operational Reports</w:t>
      </w:r>
    </w:p>
    <w:p>
      <w:pPr>
        <w:pStyle w:val="FirstParagraph"/>
      </w:pPr>
      <w:r>
        <w:t xml:space="preserve">Support programme managers and implementation teams.</w:t>
      </w:r>
    </w:p>
    <w:p>
      <w:r>
        <w:pict>
          <v:rect style="width:0;height:1.5pt" o:hralign="center" o:hrstd="t" o:hr="t"/>
        </w:pict>
      </w:r>
    </w:p>
    <w:bookmarkEnd w:id="45"/>
    <w:bookmarkStart w:id="46" w:name="technical-reports"/>
    <w:p>
      <w:pPr>
        <w:pStyle w:val="Heading3"/>
      </w:pPr>
      <w:r>
        <w:t xml:space="preserve">Technical Reports</w:t>
      </w:r>
    </w:p>
    <w:p>
      <w:pPr>
        <w:pStyle w:val="FirstParagraph"/>
      </w:pPr>
      <w:r>
        <w:t xml:space="preserve">Focus on platform performance and architecture.</w:t>
      </w:r>
    </w:p>
    <w:p>
      <w:r>
        <w:pict>
          <v:rect style="width:0;height:1.5pt" o:hralign="center" o:hrstd="t" o:hr="t"/>
        </w:pict>
      </w:r>
    </w:p>
    <w:bookmarkEnd w:id="46"/>
    <w:bookmarkStart w:id="47" w:name="development-partner-reports"/>
    <w:p>
      <w:pPr>
        <w:pStyle w:val="Heading3"/>
      </w:pPr>
      <w:r>
        <w:t xml:space="preserve">Development Partner Reports</w:t>
      </w:r>
    </w:p>
    <w:p>
      <w:pPr>
        <w:pStyle w:val="FirstParagraph"/>
      </w:pPr>
      <w:r>
        <w:t xml:space="preserve">Provide programme progress, outcomes, and agreed performance indicators where applicable.</w:t>
      </w:r>
    </w:p>
    <w:p>
      <w:r>
        <w:pict>
          <v:rect style="width:0;height:1.5pt" o:hralign="center" o:hrstd="t" o:hr="t"/>
        </w:pict>
      </w:r>
    </w:p>
    <w:bookmarkEnd w:id="47"/>
    <w:bookmarkEnd w:id="48"/>
    <w:bookmarkStart w:id="49" w:name="continuous-improvement"/>
    <w:p>
      <w:pPr>
        <w:pStyle w:val="Heading1"/>
      </w:pPr>
      <w:r>
        <w:t xml:space="preserve">23.11 Continuous Improvement</w:t>
      </w:r>
    </w:p>
    <w:p>
      <w:pPr>
        <w:pStyle w:val="FirstParagraph"/>
      </w:pPr>
      <w:r>
        <w:t xml:space="preserve">Continuous improvement is supported through:</w:t>
      </w:r>
    </w:p>
    <w:p>
      <w:pPr>
        <w:pStyle w:val="Compact"/>
        <w:numPr>
          <w:ilvl w:val="0"/>
          <w:numId w:val="1013"/>
        </w:numPr>
      </w:pPr>
      <w:r>
        <w:t xml:space="preserve">Lessons learned.</w:t>
      </w:r>
    </w:p>
    <w:p>
      <w:pPr>
        <w:pStyle w:val="Compact"/>
        <w:numPr>
          <w:ilvl w:val="0"/>
          <w:numId w:val="1013"/>
        </w:numPr>
      </w:pPr>
      <w:r>
        <w:t xml:space="preserve">User feedback.</w:t>
      </w:r>
    </w:p>
    <w:p>
      <w:pPr>
        <w:pStyle w:val="Compact"/>
        <w:numPr>
          <w:ilvl w:val="0"/>
          <w:numId w:val="1013"/>
        </w:numPr>
      </w:pPr>
      <w:r>
        <w:t xml:space="preserve">Operational reviews.</w:t>
      </w:r>
    </w:p>
    <w:p>
      <w:pPr>
        <w:pStyle w:val="Compact"/>
        <w:numPr>
          <w:ilvl w:val="0"/>
          <w:numId w:val="1013"/>
        </w:numPr>
      </w:pPr>
      <w:r>
        <w:t xml:space="preserve">Performance benchmarking.</w:t>
      </w:r>
    </w:p>
    <w:p>
      <w:pPr>
        <w:pStyle w:val="Compact"/>
        <w:numPr>
          <w:ilvl w:val="0"/>
          <w:numId w:val="1013"/>
        </w:numPr>
      </w:pPr>
      <w:r>
        <w:t xml:space="preserve">Technology updates.</w:t>
      </w:r>
    </w:p>
    <w:p>
      <w:pPr>
        <w:pStyle w:val="Compact"/>
        <w:numPr>
          <w:ilvl w:val="0"/>
          <w:numId w:val="1013"/>
        </w:numPr>
      </w:pPr>
      <w:r>
        <w:t xml:space="preserve">Policy refinement.</w:t>
      </w:r>
    </w:p>
    <w:p>
      <w:pPr>
        <w:pStyle w:val="FirstParagraph"/>
      </w:pPr>
      <w:r>
        <w:t xml:space="preserve">The framework encourages iterative enhancement throughout the programme lifecycle.</w:t>
      </w:r>
    </w:p>
    <w:p>
      <w:r>
        <w:pict>
          <v:rect style="width:0;height:1.5pt" o:hralign="center" o:hrstd="t" o:hr="t"/>
        </w:pict>
      </w:r>
    </w:p>
    <w:bookmarkEnd w:id="49"/>
    <w:bookmarkStart w:id="56" w:name="functional-requirements"/>
    <w:p>
      <w:pPr>
        <w:pStyle w:val="Heading1"/>
      </w:pPr>
      <w:r>
        <w:t xml:space="preserve">23.12 Functional Requirements</w:t>
      </w:r>
    </w:p>
    <w:bookmarkStart w:id="50" w:name="fr-gov-001"/>
    <w:p>
      <w:pPr>
        <w:pStyle w:val="Heading3"/>
      </w:pPr>
      <w:r>
        <w:t xml:space="preserve">FR-GOV-001</w:t>
      </w:r>
    </w:p>
    <w:p>
      <w:pPr>
        <w:pStyle w:val="FirstParagraph"/>
      </w:pPr>
      <w:r>
        <w:t xml:space="preserve">Support programme governance workflows.</w:t>
      </w:r>
    </w:p>
    <w:p>
      <w:r>
        <w:pict>
          <v:rect style="width:0;height:1.5pt" o:hralign="center" o:hrstd="t" o:hr="t"/>
        </w:pict>
      </w:r>
    </w:p>
    <w:bookmarkEnd w:id="50"/>
    <w:bookmarkStart w:id="51" w:name="fr-gov-002"/>
    <w:p>
      <w:pPr>
        <w:pStyle w:val="Heading3"/>
      </w:pPr>
      <w:r>
        <w:t xml:space="preserve">FR-GOV-002</w:t>
      </w:r>
    </w:p>
    <w:p>
      <w:pPr>
        <w:pStyle w:val="FirstParagraph"/>
      </w:pPr>
      <w:r>
        <w:t xml:space="preserve">Provide monitoring dashboards.</w:t>
      </w:r>
    </w:p>
    <w:p>
      <w:r>
        <w:pict>
          <v:rect style="width:0;height:1.5pt" o:hralign="center" o:hrstd="t" o:hr="t"/>
        </w:pict>
      </w:r>
    </w:p>
    <w:bookmarkEnd w:id="51"/>
    <w:bookmarkStart w:id="52" w:name="fr-gov-003"/>
    <w:p>
      <w:pPr>
        <w:pStyle w:val="Heading3"/>
      </w:pPr>
      <w:r>
        <w:t xml:space="preserve">FR-GOV-003</w:t>
      </w:r>
    </w:p>
    <w:p>
      <w:pPr>
        <w:pStyle w:val="FirstParagraph"/>
      </w:pPr>
      <w:r>
        <w:t xml:space="preserve">Track programme risks and issues.</w:t>
      </w:r>
    </w:p>
    <w:p>
      <w:r>
        <w:pict>
          <v:rect style="width:0;height:1.5pt" o:hralign="center" o:hrstd="t" o:hr="t"/>
        </w:pict>
      </w:r>
    </w:p>
    <w:bookmarkEnd w:id="52"/>
    <w:bookmarkStart w:id="53" w:name="fr-gov-004"/>
    <w:p>
      <w:pPr>
        <w:pStyle w:val="Heading3"/>
      </w:pPr>
      <w:r>
        <w:t xml:space="preserve">FR-GOV-004</w:t>
      </w:r>
    </w:p>
    <w:p>
      <w:pPr>
        <w:pStyle w:val="FirstParagraph"/>
      </w:pPr>
      <w:r>
        <w:t xml:space="preserve">Measure programme benefits.</w:t>
      </w:r>
    </w:p>
    <w:p>
      <w:r>
        <w:pict>
          <v:rect style="width:0;height:1.5pt" o:hralign="center" o:hrstd="t" o:hr="t"/>
        </w:pict>
      </w:r>
    </w:p>
    <w:bookmarkEnd w:id="53"/>
    <w:bookmarkStart w:id="54" w:name="fr-gov-005"/>
    <w:p>
      <w:pPr>
        <w:pStyle w:val="Heading3"/>
      </w:pPr>
      <w:r>
        <w:t xml:space="preserve">FR-GOV-005</w:t>
      </w:r>
    </w:p>
    <w:p>
      <w:pPr>
        <w:pStyle w:val="FirstParagraph"/>
      </w:pPr>
      <w:r>
        <w:t xml:space="preserve">Generate governance and evaluation reports.</w:t>
      </w:r>
    </w:p>
    <w:p>
      <w:r>
        <w:pict>
          <v:rect style="width:0;height:1.5pt" o:hralign="center" o:hrstd="t" o:hr="t"/>
        </w:pict>
      </w:r>
    </w:p>
    <w:bookmarkEnd w:id="54"/>
    <w:bookmarkStart w:id="55" w:name="fr-gov-006"/>
    <w:p>
      <w:pPr>
        <w:pStyle w:val="Heading3"/>
      </w:pPr>
      <w:r>
        <w:t xml:space="preserve">FR-GOV-006</w:t>
      </w:r>
    </w:p>
    <w:p>
      <w:pPr>
        <w:pStyle w:val="FirstParagraph"/>
      </w:pPr>
      <w:r>
        <w:t xml:space="preserve">Support continuous improvement planning.</w:t>
      </w:r>
    </w:p>
    <w:p>
      <w:r>
        <w:pict>
          <v:rect style="width:0;height:1.5pt" o:hralign="center" o:hrstd="t" o:hr="t"/>
        </w:pict>
      </w:r>
    </w:p>
    <w:bookmarkEnd w:id="55"/>
    <w:bookmarkEnd w:id="56"/>
    <w:bookmarkStart w:id="57" w:name="key-performance-indicators"/>
    <w:p>
      <w:pPr>
        <w:pStyle w:val="Heading1"/>
      </w:pPr>
      <w:r>
        <w:t xml:space="preserve">23.13 Key Performance Indicators</w:t>
      </w:r>
    </w:p>
    <w:p>
      <w:pPr>
        <w:pStyle w:val="FirstParagraph"/>
      </w:pPr>
      <w:r>
        <w:t xml:space="preserve">Illustrative indicators include:</w:t>
      </w:r>
    </w:p>
    <w:p>
      <w:pPr>
        <w:pStyle w:val="Compact"/>
        <w:numPr>
          <w:ilvl w:val="0"/>
          <w:numId w:val="1014"/>
        </w:numPr>
      </w:pPr>
      <w:r>
        <w:t xml:space="preserve">Programme milestone completion.</w:t>
      </w:r>
    </w:p>
    <w:p>
      <w:pPr>
        <w:pStyle w:val="Compact"/>
        <w:numPr>
          <w:ilvl w:val="0"/>
          <w:numId w:val="1014"/>
        </w:numPr>
      </w:pPr>
      <w:r>
        <w:t xml:space="preserve">Benefits realization progress.</w:t>
      </w:r>
    </w:p>
    <w:p>
      <w:pPr>
        <w:pStyle w:val="Compact"/>
        <w:numPr>
          <w:ilvl w:val="0"/>
          <w:numId w:val="1014"/>
        </w:numPr>
      </w:pPr>
      <w:r>
        <w:t xml:space="preserve">User adoption.</w:t>
      </w:r>
    </w:p>
    <w:p>
      <w:pPr>
        <w:pStyle w:val="Compact"/>
        <w:numPr>
          <w:ilvl w:val="0"/>
          <w:numId w:val="1014"/>
        </w:numPr>
      </w:pPr>
      <w:r>
        <w:t xml:space="preserve">Operational efficiency.</w:t>
      </w:r>
    </w:p>
    <w:p>
      <w:pPr>
        <w:pStyle w:val="Compact"/>
        <w:numPr>
          <w:ilvl w:val="0"/>
          <w:numId w:val="1014"/>
        </w:numPr>
      </w:pPr>
      <w:r>
        <w:t xml:space="preserve">System availability.</w:t>
      </w:r>
    </w:p>
    <w:p>
      <w:pPr>
        <w:pStyle w:val="Compact"/>
        <w:numPr>
          <w:ilvl w:val="0"/>
          <w:numId w:val="1014"/>
        </w:numPr>
      </w:pPr>
      <w:r>
        <w:t xml:space="preserve">Stakeholder satisfaction.</w:t>
      </w:r>
    </w:p>
    <w:p>
      <w:pPr>
        <w:pStyle w:val="Compact"/>
        <w:numPr>
          <w:ilvl w:val="0"/>
          <w:numId w:val="1014"/>
        </w:numPr>
      </w:pPr>
      <w:r>
        <w:t xml:space="preserve">Risk resolution rate.</w:t>
      </w:r>
    </w:p>
    <w:p>
      <w:pPr>
        <w:pStyle w:val="Compact"/>
        <w:numPr>
          <w:ilvl w:val="0"/>
          <w:numId w:val="1014"/>
        </w:numPr>
      </w:pPr>
      <w:r>
        <w:t xml:space="preserve">Improvement initiatives completed.</w:t>
      </w:r>
    </w:p>
    <w:p>
      <w:r>
        <w:pict>
          <v:rect style="width:0;height:1.5pt" o:hralign="center" o:hrstd="t" o:hr="t"/>
        </w:pict>
      </w:r>
    </w:p>
    <w:bookmarkEnd w:id="57"/>
    <w:bookmarkStart w:id="58" w:name="expected-benefits"/>
    <w:p>
      <w:pPr>
        <w:pStyle w:val="Heading1"/>
      </w:pPr>
      <w:r>
        <w:t xml:space="preserve">23.14 Expected Benefits</w:t>
      </w:r>
    </w:p>
    <w:p>
      <w:pPr>
        <w:pStyle w:val="FirstParagraph"/>
      </w:pPr>
      <w:r>
        <w:t xml:space="preserve">The Programme Governance, Monitoring, Evaluation and Benefits Realization Framework is expected to contribute to:</w:t>
      </w:r>
    </w:p>
    <w:p>
      <w:pPr>
        <w:pStyle w:val="Compact"/>
        <w:numPr>
          <w:ilvl w:val="0"/>
          <w:numId w:val="1015"/>
        </w:numPr>
      </w:pPr>
      <w:r>
        <w:t xml:space="preserve">Stronger programme oversight.</w:t>
      </w:r>
    </w:p>
    <w:p>
      <w:pPr>
        <w:pStyle w:val="Compact"/>
        <w:numPr>
          <w:ilvl w:val="0"/>
          <w:numId w:val="1015"/>
        </w:numPr>
      </w:pPr>
      <w:r>
        <w:t xml:space="preserve">Improved accountability.</w:t>
      </w:r>
    </w:p>
    <w:p>
      <w:pPr>
        <w:pStyle w:val="Compact"/>
        <w:numPr>
          <w:ilvl w:val="0"/>
          <w:numId w:val="1015"/>
        </w:numPr>
      </w:pPr>
      <w:r>
        <w:t xml:space="preserve">Better evidence for decision-making.</w:t>
      </w:r>
    </w:p>
    <w:p>
      <w:pPr>
        <w:pStyle w:val="Compact"/>
        <w:numPr>
          <w:ilvl w:val="0"/>
          <w:numId w:val="1015"/>
        </w:numPr>
      </w:pPr>
      <w:r>
        <w:t xml:space="preserve">Increased transparency.</w:t>
      </w:r>
    </w:p>
    <w:p>
      <w:pPr>
        <w:pStyle w:val="Compact"/>
        <w:numPr>
          <w:ilvl w:val="0"/>
          <w:numId w:val="1015"/>
        </w:numPr>
      </w:pPr>
      <w:r>
        <w:t xml:space="preserve">Sustainable programme outcomes.</w:t>
      </w:r>
    </w:p>
    <w:p>
      <w:pPr>
        <w:pStyle w:val="Compact"/>
        <w:numPr>
          <w:ilvl w:val="0"/>
          <w:numId w:val="1015"/>
        </w:numPr>
      </w:pPr>
      <w:r>
        <w:t xml:space="preserve">Continuous institutional learning.</w:t>
      </w:r>
    </w:p>
    <w:p>
      <w:pPr>
        <w:pStyle w:val="Compact"/>
        <w:numPr>
          <w:ilvl w:val="0"/>
          <w:numId w:val="1015"/>
        </w:numPr>
      </w:pPr>
      <w:r>
        <w:t xml:space="preserve">Greater confidence among stakeholders.</w:t>
      </w:r>
    </w:p>
    <w:p>
      <w:pPr>
        <w:pStyle w:val="FirstParagraph"/>
      </w:pPr>
      <w:r>
        <w:t xml:space="preserve">These benefits depend on effective governance, reliable information, and sustained leadership commitment.</w:t>
      </w:r>
    </w:p>
    <w:p>
      <w:r>
        <w:pict>
          <v:rect style="width:0;height:1.5pt" o:hralign="center" o:hrstd="t" o:hr="t"/>
        </w:pict>
      </w:r>
    </w:p>
    <w:bookmarkEnd w:id="58"/>
    <w:bookmarkStart w:id="59" w:name="chapter-summary"/>
    <w:p>
      <w:pPr>
        <w:pStyle w:val="Heading1"/>
      </w:pPr>
      <w:r>
        <w:t xml:space="preserve">23.15 Chapter Summary</w:t>
      </w:r>
    </w:p>
    <w:p>
      <w:pPr>
        <w:pStyle w:val="FirstParagraph"/>
      </w:pPr>
      <w:r>
        <w:t xml:space="preserve">The National Programme Governance, Monitoring, Evaluation and Benefits Realization Framework provides the institutional foundation for managing EduOS Cameroon as a long-term national transformation programme rather than a one-time technology project.</w:t>
      </w:r>
    </w:p>
    <w:p>
      <w:pPr>
        <w:pStyle w:val="BodyText"/>
      </w:pPr>
      <w:r>
        <w:t xml:space="preserve">By combining governance, monitoring, evaluation, risk management, and benefits realization, the framework ensures that programme success is measured not by software deployment alone, but by meaningful improvements in education service delivery, operational performance, and public sector governance.</w:t>
      </w:r>
    </w:p>
    <w:p>
      <w:pPr>
        <w:pStyle w:val="BodyText"/>
      </w:pPr>
      <w:r>
        <w:t xml:space="preserve">The next chapter will define the</w:t>
      </w:r>
      <w:r>
        <w:t xml:space="preserve"> </w:t>
      </w:r>
      <w:r>
        <w:rPr>
          <w:b/>
          <w:bCs/>
        </w:rPr>
        <w:t xml:space="preserve">National Sustainability, Innovation and Future Evolution Framework</w:t>
      </w:r>
      <w:r>
        <w:t xml:space="preserve">, outlining how EduOS Cameroon can continue to evolve through new technologies, changing education priorities, and future digital public services while maintaining long-term institutional sustainability.</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2026-07-10T14:23:22Z</dcterms:created>
  <dcterms:modified xsi:type="dcterms:W3CDTF">2026-07-10T14:23:22Z</dcterms:modified>
</cp:coreProperties>
</file>

<file path=docProps/custom.xml><?xml version="1.0" encoding="utf-8"?>
<Properties xmlns="http://schemas.openxmlformats.org/officeDocument/2006/custom-properties" xmlns:vt="http://schemas.openxmlformats.org/officeDocument/2006/docPropsVTypes"/>
</file>