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0"/>
    <w:p>
      <w:pPr>
        <w:pStyle w:val="Heading1"/>
      </w:pPr>
      <w:r>
        <w:t xml:space="preserve">CHAPTER 10</w:t>
      </w:r>
    </w:p>
    <w:bookmarkEnd w:id="20"/>
    <w:bookmarkStart w:id="22" w:name="Xf13fdb618c8de12694a4875504935e126d12601"/>
    <w:p>
      <w:pPr>
        <w:pStyle w:val="Heading1"/>
      </w:pPr>
      <w:r>
        <w:t xml:space="preserve">NATIONAL SCHOOL INSPECTION, VERIFICATION AND COMPLIANCE FRAMEWORK</w:t>
      </w:r>
    </w:p>
    <w:bookmarkStart w:id="21" w:name="introduction"/>
    <w:p>
      <w:pPr>
        <w:pStyle w:val="Heading2"/>
      </w:pPr>
      <w:r>
        <w:t xml:space="preserve">10.1 Introduction</w:t>
      </w:r>
    </w:p>
    <w:p>
      <w:pPr>
        <w:pStyle w:val="FirstParagraph"/>
      </w:pPr>
      <w:r>
        <w:t xml:space="preserve">School inspections play a vital role in maintaining educational quality, verifying the effective use of public resources, and ensuring compliance with national education policies.</w:t>
      </w:r>
    </w:p>
    <w:p>
      <w:pPr>
        <w:pStyle w:val="BodyText"/>
      </w:pPr>
      <w:r>
        <w:t xml:space="preserve">Traditionally, inspections involve physical visits, paper-based checklists, narrative reports, and manual follow-up processes. While these approaches provide valuable oversight, they can also result in delayed reporting, fragmented information, and limited national visibility into recurring operational issues.</w:t>
      </w:r>
    </w:p>
    <w:p>
      <w:pPr>
        <w:pStyle w:val="BodyText"/>
      </w:pPr>
      <w:r>
        <w:t xml:space="preserve">EduOS Cameroon introduces a Digital School Inspection Framework that equips inspectors with secure mobile tools, standardized inspection instruments, offline data capture, geotagged evidence, and real-time reporting capabilities.</w:t>
      </w:r>
    </w:p>
    <w:p>
      <w:pPr>
        <w:pStyle w:val="BodyText"/>
      </w:pPr>
      <w:r>
        <w:t xml:space="preserve">The objective is to transform inspections into a continuous source of operational intelligence that supports improvement rather than merely identifying deficiencies.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trategic-objectives"/>
    <w:p>
      <w:pPr>
        <w:pStyle w:val="Heading1"/>
      </w:pPr>
      <w:r>
        <w:t xml:space="preserve">10.2 Strategic Objectives</w:t>
      </w:r>
    </w:p>
    <w:p>
      <w:pPr>
        <w:pStyle w:val="FirstParagraph"/>
      </w:pPr>
      <w:r>
        <w:t xml:space="preserve">The framework seeks to:</w:t>
      </w:r>
    </w:p>
    <w:p>
      <w:pPr>
        <w:pStyle w:val="Compact"/>
        <w:numPr>
          <w:ilvl w:val="0"/>
          <w:numId w:val="1001"/>
        </w:numPr>
      </w:pPr>
      <w:r>
        <w:t xml:space="preserve">Improve inspection quality.</w:t>
      </w:r>
    </w:p>
    <w:p>
      <w:pPr>
        <w:pStyle w:val="Compact"/>
        <w:numPr>
          <w:ilvl w:val="0"/>
          <w:numId w:val="1001"/>
        </w:numPr>
      </w:pPr>
      <w:r>
        <w:t xml:space="preserve">Standardize inspection processes.</w:t>
      </w:r>
    </w:p>
    <w:p>
      <w:pPr>
        <w:pStyle w:val="Compact"/>
        <w:numPr>
          <w:ilvl w:val="0"/>
          <w:numId w:val="1001"/>
        </w:numPr>
      </w:pPr>
      <w:r>
        <w:t xml:space="preserve">Strengthen compliance monitoring.</w:t>
      </w:r>
    </w:p>
    <w:p>
      <w:pPr>
        <w:pStyle w:val="Compact"/>
        <w:numPr>
          <w:ilvl w:val="0"/>
          <w:numId w:val="1001"/>
        </w:numPr>
      </w:pPr>
      <w:r>
        <w:t xml:space="preserve">Improve evidence collection.</w:t>
      </w:r>
    </w:p>
    <w:p>
      <w:pPr>
        <w:pStyle w:val="Compact"/>
        <w:numPr>
          <w:ilvl w:val="0"/>
          <w:numId w:val="1001"/>
        </w:numPr>
      </w:pPr>
      <w:r>
        <w:t xml:space="preserve">Accelerate reporting.</w:t>
      </w:r>
    </w:p>
    <w:p>
      <w:pPr>
        <w:pStyle w:val="Compact"/>
        <w:numPr>
          <w:ilvl w:val="0"/>
          <w:numId w:val="1001"/>
        </w:numPr>
      </w:pPr>
      <w:r>
        <w:t xml:space="preserve">Support corrective actions.</w:t>
      </w:r>
    </w:p>
    <w:p>
      <w:pPr>
        <w:pStyle w:val="Compact"/>
        <w:numPr>
          <w:ilvl w:val="0"/>
          <w:numId w:val="1001"/>
        </w:numPr>
      </w:pPr>
      <w:r>
        <w:t xml:space="preserve">Improve accountability.</w:t>
      </w:r>
    </w:p>
    <w:p>
      <w:pPr>
        <w:pStyle w:val="Compact"/>
        <w:numPr>
          <w:ilvl w:val="0"/>
          <w:numId w:val="1001"/>
        </w:numPr>
      </w:pPr>
      <w:r>
        <w:t xml:space="preserve">Generate national operational intelligence.</w:t>
      </w:r>
    </w:p>
    <w:p>
      <w:r>
        <w:pict>
          <v:rect style="width:0;height:1.5pt" o:hralign="center" o:hrstd="t" o:hr="t"/>
        </w:pict>
      </w:r>
    </w:p>
    <w:bookmarkEnd w:id="23"/>
    <w:bookmarkStart w:id="28" w:name="inspection-types"/>
    <w:p>
      <w:pPr>
        <w:pStyle w:val="Heading1"/>
      </w:pPr>
      <w:r>
        <w:t xml:space="preserve">10.3 Inspection Types</w:t>
      </w:r>
    </w:p>
    <w:p>
      <w:pPr>
        <w:pStyle w:val="FirstParagraph"/>
      </w:pPr>
      <w:r>
        <w:t xml:space="preserve">The platform supports multiple inspection categories.</w:t>
      </w:r>
    </w:p>
    <w:bookmarkStart w:id="24" w:name="administrative-inspections"/>
    <w:p>
      <w:pPr>
        <w:pStyle w:val="Heading3"/>
      </w:pPr>
      <w:r>
        <w:t xml:space="preserve">Administrative Inspections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School administration.</w:t>
      </w:r>
    </w:p>
    <w:p>
      <w:pPr>
        <w:pStyle w:val="Compact"/>
        <w:numPr>
          <w:ilvl w:val="0"/>
          <w:numId w:val="1002"/>
        </w:numPr>
      </w:pPr>
      <w:r>
        <w:t xml:space="preserve">Record management.</w:t>
      </w:r>
    </w:p>
    <w:p>
      <w:pPr>
        <w:pStyle w:val="Compact"/>
        <w:numPr>
          <w:ilvl w:val="0"/>
          <w:numId w:val="1002"/>
        </w:numPr>
      </w:pPr>
      <w:r>
        <w:t xml:space="preserve">Policy compliance.</w:t>
      </w:r>
    </w:p>
    <w:p>
      <w:pPr>
        <w:pStyle w:val="Compact"/>
        <w:numPr>
          <w:ilvl w:val="0"/>
          <w:numId w:val="1002"/>
        </w:numPr>
      </w:pPr>
      <w:r>
        <w:t xml:space="preserve">Resource accountability.</w:t>
      </w:r>
    </w:p>
    <w:p>
      <w:r>
        <w:pict>
          <v:rect style="width:0;height:1.5pt" o:hralign="center" o:hrstd="t" o:hr="t"/>
        </w:pict>
      </w:r>
    </w:p>
    <w:bookmarkEnd w:id="24"/>
    <w:bookmarkStart w:id="25" w:name="resource-verification"/>
    <w:p>
      <w:pPr>
        <w:pStyle w:val="Heading3"/>
      </w:pPr>
      <w:r>
        <w:t xml:space="preserve">Resource Verification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Textbook inventories.</w:t>
      </w:r>
    </w:p>
    <w:p>
      <w:pPr>
        <w:pStyle w:val="Compact"/>
        <w:numPr>
          <w:ilvl w:val="0"/>
          <w:numId w:val="1003"/>
        </w:numPr>
      </w:pPr>
      <w:r>
        <w:t xml:space="preserve">Digital Asset Passport verification.</w:t>
      </w:r>
    </w:p>
    <w:p>
      <w:pPr>
        <w:pStyle w:val="Compact"/>
        <w:numPr>
          <w:ilvl w:val="0"/>
          <w:numId w:val="1003"/>
        </w:numPr>
      </w:pPr>
      <w:r>
        <w:t xml:space="preserve">Warehouse verification.</w:t>
      </w:r>
    </w:p>
    <w:p>
      <w:pPr>
        <w:pStyle w:val="Compact"/>
        <w:numPr>
          <w:ilvl w:val="0"/>
          <w:numId w:val="1003"/>
        </w:numPr>
      </w:pPr>
      <w:r>
        <w:t xml:space="preserve">Laboratory equipment.</w:t>
      </w:r>
    </w:p>
    <w:p>
      <w:pPr>
        <w:pStyle w:val="Compact"/>
        <w:numPr>
          <w:ilvl w:val="0"/>
          <w:numId w:val="1003"/>
        </w:numPr>
      </w:pPr>
      <w:r>
        <w:t xml:space="preserve">ICT assets.</w:t>
      </w:r>
    </w:p>
    <w:p>
      <w:pPr>
        <w:pStyle w:val="Compact"/>
        <w:numPr>
          <w:ilvl w:val="0"/>
          <w:numId w:val="1003"/>
        </w:numPr>
      </w:pPr>
      <w:r>
        <w:t xml:space="preserve">Library resources.</w:t>
      </w:r>
    </w:p>
    <w:p>
      <w:r>
        <w:pict>
          <v:rect style="width:0;height:1.5pt" o:hralign="center" o:hrstd="t" o:hr="t"/>
        </w:pict>
      </w:r>
    </w:p>
    <w:bookmarkEnd w:id="25"/>
    <w:bookmarkStart w:id="26" w:name="infrastructure-assessments"/>
    <w:p>
      <w:pPr>
        <w:pStyle w:val="Heading3"/>
      </w:pPr>
      <w:r>
        <w:t xml:space="preserve">Infrastructure Assessments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04"/>
        </w:numPr>
      </w:pPr>
      <w:r>
        <w:t xml:space="preserve">Classroom condition.</w:t>
      </w:r>
    </w:p>
    <w:p>
      <w:pPr>
        <w:pStyle w:val="Compact"/>
        <w:numPr>
          <w:ilvl w:val="0"/>
          <w:numId w:val="1004"/>
        </w:numPr>
      </w:pPr>
      <w:r>
        <w:t xml:space="preserve">Water supply.</w:t>
      </w:r>
    </w:p>
    <w:p>
      <w:pPr>
        <w:pStyle w:val="Compact"/>
        <w:numPr>
          <w:ilvl w:val="0"/>
          <w:numId w:val="1004"/>
        </w:numPr>
      </w:pPr>
      <w:r>
        <w:t xml:space="preserve">Sanitation facilities.</w:t>
      </w:r>
    </w:p>
    <w:p>
      <w:pPr>
        <w:pStyle w:val="Compact"/>
        <w:numPr>
          <w:ilvl w:val="0"/>
          <w:numId w:val="1004"/>
        </w:numPr>
      </w:pPr>
      <w:r>
        <w:t xml:space="preserve">Electricity.</w:t>
      </w:r>
    </w:p>
    <w:p>
      <w:pPr>
        <w:pStyle w:val="Compact"/>
        <w:numPr>
          <w:ilvl w:val="0"/>
          <w:numId w:val="1004"/>
        </w:numPr>
      </w:pPr>
      <w:r>
        <w:t xml:space="preserve">Solar installations.</w:t>
      </w:r>
    </w:p>
    <w:p>
      <w:pPr>
        <w:pStyle w:val="Compact"/>
        <w:numPr>
          <w:ilvl w:val="0"/>
          <w:numId w:val="1004"/>
        </w:numPr>
      </w:pPr>
      <w:r>
        <w:t xml:space="preserve">School safety.</w:t>
      </w:r>
    </w:p>
    <w:p>
      <w:r>
        <w:pict>
          <v:rect style="width:0;height:1.5pt" o:hralign="center" o:hrstd="t" o:hr="t"/>
        </w:pict>
      </w:r>
    </w:p>
    <w:bookmarkEnd w:id="26"/>
    <w:bookmarkStart w:id="27" w:name="teaching-and-learning-support"/>
    <w:p>
      <w:pPr>
        <w:pStyle w:val="Heading3"/>
      </w:pPr>
      <w:r>
        <w:t xml:space="preserve">Teaching and Learning Support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05"/>
        </w:numPr>
      </w:pPr>
      <w:r>
        <w:t xml:space="preserve">Textbook availability.</w:t>
      </w:r>
    </w:p>
    <w:p>
      <w:pPr>
        <w:pStyle w:val="Compact"/>
        <w:numPr>
          <w:ilvl w:val="0"/>
          <w:numId w:val="1005"/>
        </w:numPr>
      </w:pPr>
      <w:r>
        <w:t xml:space="preserve">Classroom utilization.</w:t>
      </w:r>
    </w:p>
    <w:p>
      <w:pPr>
        <w:pStyle w:val="Compact"/>
        <w:numPr>
          <w:ilvl w:val="0"/>
          <w:numId w:val="1005"/>
        </w:numPr>
      </w:pPr>
      <w:r>
        <w:t xml:space="preserve">Teaching resources.</w:t>
      </w:r>
    </w:p>
    <w:p>
      <w:pPr>
        <w:pStyle w:val="Compact"/>
        <w:numPr>
          <w:ilvl w:val="0"/>
          <w:numId w:val="1005"/>
        </w:numPr>
      </w:pPr>
      <w:r>
        <w:t xml:space="preserve">Learning environment.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igital-inspection-workflow"/>
    <w:p>
      <w:pPr>
        <w:pStyle w:val="Heading1"/>
      </w:pPr>
      <w:r>
        <w:t xml:space="preserve">10.4 Digital Inspection Workflow</w:t>
      </w:r>
    </w:p>
    <w:p>
      <w:pPr>
        <w:pStyle w:val="FirstParagraph"/>
      </w:pPr>
      <w:r>
        <w:rPr>
          <w:rStyle w:val="VerbatimChar"/>
        </w:rPr>
        <w:t xml:space="preserve">text id="inspect001" Inspection Planning         │         ▼ Assignment         │         ▼ School Visit         │         ▼ Digital Checklist         │         ▼ Evidence Collection         │         ▼ Findings         │         ▼ Corrective Actions         │         ▼ Follow-Up         │         ▼ Closure</w:t>
      </w:r>
    </w:p>
    <w:p>
      <w:pPr>
        <w:pStyle w:val="BodyText"/>
      </w:pPr>
      <w:r>
        <w:t xml:space="preserve">Every inspection generates structured digital records that contribute to national monitoring and analytics.</w:t>
      </w:r>
    </w:p>
    <w:p>
      <w:r>
        <w:pict>
          <v:rect style="width:0;height:1.5pt" o:hralign="center" o:hrstd="t" o:hr="t"/>
        </w:pict>
      </w:r>
    </w:p>
    <w:bookmarkEnd w:id="29"/>
    <w:bookmarkStart w:id="30" w:name="digital-inspection-toolkit"/>
    <w:p>
      <w:pPr>
        <w:pStyle w:val="Heading1"/>
      </w:pPr>
      <w:r>
        <w:t xml:space="preserve">10.5 Digital Inspection Toolkit</w:t>
      </w:r>
    </w:p>
    <w:p>
      <w:pPr>
        <w:pStyle w:val="FirstParagraph"/>
      </w:pPr>
      <w:r>
        <w:t xml:space="preserve">Inspectors are provided with secure mobile capabilities to:</w:t>
      </w:r>
    </w:p>
    <w:p>
      <w:pPr>
        <w:pStyle w:val="Compact"/>
        <w:numPr>
          <w:ilvl w:val="0"/>
          <w:numId w:val="1006"/>
        </w:numPr>
      </w:pPr>
      <w:r>
        <w:t xml:space="preserve">Access assigned inspections.</w:t>
      </w:r>
    </w:p>
    <w:p>
      <w:pPr>
        <w:pStyle w:val="Compact"/>
        <w:numPr>
          <w:ilvl w:val="0"/>
          <w:numId w:val="1006"/>
        </w:numPr>
      </w:pPr>
      <w:r>
        <w:t xml:space="preserve">View school profiles.</w:t>
      </w:r>
    </w:p>
    <w:p>
      <w:pPr>
        <w:pStyle w:val="Compact"/>
        <w:numPr>
          <w:ilvl w:val="0"/>
          <w:numId w:val="1006"/>
        </w:numPr>
      </w:pPr>
      <w:r>
        <w:t xml:space="preserve">Scan Digital Textbook Passports.</w:t>
      </w:r>
    </w:p>
    <w:p>
      <w:pPr>
        <w:pStyle w:val="Compact"/>
        <w:numPr>
          <w:ilvl w:val="0"/>
          <w:numId w:val="1006"/>
        </w:numPr>
      </w:pPr>
      <w:r>
        <w:t xml:space="preserve">Scan Digital Asset Passports.</w:t>
      </w:r>
    </w:p>
    <w:p>
      <w:pPr>
        <w:pStyle w:val="Compact"/>
        <w:numPr>
          <w:ilvl w:val="0"/>
          <w:numId w:val="1006"/>
        </w:numPr>
      </w:pPr>
      <w:r>
        <w:t xml:space="preserve">Capture photographs.</w:t>
      </w:r>
    </w:p>
    <w:p>
      <w:pPr>
        <w:pStyle w:val="Compact"/>
        <w:numPr>
          <w:ilvl w:val="0"/>
          <w:numId w:val="1006"/>
        </w:numPr>
      </w:pPr>
      <w:r>
        <w:t xml:space="preserve">Record observations.</w:t>
      </w:r>
    </w:p>
    <w:p>
      <w:pPr>
        <w:pStyle w:val="Compact"/>
        <w:numPr>
          <w:ilvl w:val="0"/>
          <w:numId w:val="1006"/>
        </w:numPr>
      </w:pPr>
      <w:r>
        <w:t xml:space="preserve">Complete standardized checklists.</w:t>
      </w:r>
    </w:p>
    <w:p>
      <w:pPr>
        <w:pStyle w:val="Compact"/>
        <w:numPr>
          <w:ilvl w:val="0"/>
          <w:numId w:val="1006"/>
        </w:numPr>
      </w:pPr>
      <w:r>
        <w:t xml:space="preserve">Register findings.</w:t>
      </w:r>
    </w:p>
    <w:p>
      <w:pPr>
        <w:pStyle w:val="Compact"/>
        <w:numPr>
          <w:ilvl w:val="0"/>
          <w:numId w:val="1006"/>
        </w:numPr>
      </w:pPr>
      <w:r>
        <w:t xml:space="preserve">Recommend corrective actions.</w:t>
      </w:r>
    </w:p>
    <w:p>
      <w:pPr>
        <w:pStyle w:val="FirstParagraph"/>
      </w:pPr>
      <w:r>
        <w:t xml:space="preserve">The toolkit is designed to function in offline environments and synchronize securely once connectivity is available.</w:t>
      </w:r>
    </w:p>
    <w:p>
      <w:r>
        <w:pict>
          <v:rect style="width:0;height:1.5pt" o:hralign="center" o:hrstd="t" o:hr="t"/>
        </w:pict>
      </w:r>
    </w:p>
    <w:bookmarkEnd w:id="30"/>
    <w:bookmarkStart w:id="31" w:name="evidence-management"/>
    <w:p>
      <w:pPr>
        <w:pStyle w:val="Heading1"/>
      </w:pPr>
      <w:r>
        <w:t xml:space="preserve">10.6 Evidence Management</w:t>
      </w:r>
    </w:p>
    <w:p>
      <w:pPr>
        <w:pStyle w:val="FirstParagraph"/>
      </w:pPr>
      <w:r>
        <w:t xml:space="preserve">Inspection evidence may include:</w:t>
      </w:r>
    </w:p>
    <w:p>
      <w:pPr>
        <w:pStyle w:val="Compact"/>
        <w:numPr>
          <w:ilvl w:val="0"/>
          <w:numId w:val="1007"/>
        </w:numPr>
      </w:pPr>
      <w:r>
        <w:t xml:space="preserve">Photographs.</w:t>
      </w:r>
    </w:p>
    <w:p>
      <w:pPr>
        <w:pStyle w:val="Compact"/>
        <w:numPr>
          <w:ilvl w:val="0"/>
          <w:numId w:val="1007"/>
        </w:numPr>
      </w:pPr>
      <w:r>
        <w:t xml:space="preserve">QR code verification.</w:t>
      </w:r>
    </w:p>
    <w:p>
      <w:pPr>
        <w:pStyle w:val="Compact"/>
        <w:numPr>
          <w:ilvl w:val="0"/>
          <w:numId w:val="1007"/>
        </w:numPr>
      </w:pPr>
      <w:r>
        <w:t xml:space="preserve">GPS coordinates (where appropriate).</w:t>
      </w:r>
    </w:p>
    <w:p>
      <w:pPr>
        <w:pStyle w:val="Compact"/>
        <w:numPr>
          <w:ilvl w:val="0"/>
          <w:numId w:val="1007"/>
        </w:numPr>
      </w:pPr>
      <w:r>
        <w:t xml:space="preserve">Digital signatures.</w:t>
      </w:r>
    </w:p>
    <w:p>
      <w:pPr>
        <w:pStyle w:val="Compact"/>
        <w:numPr>
          <w:ilvl w:val="0"/>
          <w:numId w:val="1007"/>
        </w:numPr>
      </w:pPr>
      <w:r>
        <w:t xml:space="preserve">Inventory verification records.</w:t>
      </w:r>
    </w:p>
    <w:p>
      <w:pPr>
        <w:pStyle w:val="Compact"/>
        <w:numPr>
          <w:ilvl w:val="0"/>
          <w:numId w:val="1007"/>
        </w:numPr>
      </w:pPr>
      <w:r>
        <w:t xml:space="preserve">Supporting documents.</w:t>
      </w:r>
    </w:p>
    <w:p>
      <w:pPr>
        <w:pStyle w:val="FirstParagraph"/>
      </w:pPr>
      <w:r>
        <w:t xml:space="preserve">Evidence is linked to inspection findings and protected through role-based access controls.</w:t>
      </w:r>
    </w:p>
    <w:p>
      <w:r>
        <w:pict>
          <v:rect style="width:0;height:1.5pt" o:hralign="center" o:hrstd="t" o:hr="t"/>
        </w:pict>
      </w:r>
    </w:p>
    <w:bookmarkEnd w:id="31"/>
    <w:bookmarkStart w:id="32" w:name="compliance-monitoring"/>
    <w:p>
      <w:pPr>
        <w:pStyle w:val="Heading1"/>
      </w:pPr>
      <w:r>
        <w:t xml:space="preserve">10.7 Compliance Monitoring</w:t>
      </w:r>
    </w:p>
    <w:p>
      <w:pPr>
        <w:pStyle w:val="FirstParagraph"/>
      </w:pPr>
      <w:r>
        <w:t xml:space="preserve">The framework measures compliance across areas such as:</w:t>
      </w:r>
    </w:p>
    <w:p>
      <w:pPr>
        <w:pStyle w:val="Compact"/>
        <w:numPr>
          <w:ilvl w:val="0"/>
          <w:numId w:val="1008"/>
        </w:numPr>
      </w:pPr>
      <w:r>
        <w:t xml:space="preserve">Inventory management.</w:t>
      </w:r>
    </w:p>
    <w:p>
      <w:pPr>
        <w:pStyle w:val="Compact"/>
        <w:numPr>
          <w:ilvl w:val="0"/>
          <w:numId w:val="1008"/>
        </w:numPr>
      </w:pPr>
      <w:r>
        <w:t xml:space="preserve">Textbook allocation.</w:t>
      </w:r>
    </w:p>
    <w:p>
      <w:pPr>
        <w:pStyle w:val="Compact"/>
        <w:numPr>
          <w:ilvl w:val="0"/>
          <w:numId w:val="1008"/>
        </w:numPr>
      </w:pPr>
      <w:r>
        <w:t xml:space="preserve">Asset utilization.</w:t>
      </w:r>
    </w:p>
    <w:p>
      <w:pPr>
        <w:pStyle w:val="Compact"/>
        <w:numPr>
          <w:ilvl w:val="0"/>
          <w:numId w:val="1008"/>
        </w:numPr>
      </w:pPr>
      <w:r>
        <w:t xml:space="preserve">Reporting obligations.</w:t>
      </w:r>
    </w:p>
    <w:p>
      <w:pPr>
        <w:pStyle w:val="Compact"/>
        <w:numPr>
          <w:ilvl w:val="0"/>
          <w:numId w:val="1008"/>
        </w:numPr>
      </w:pPr>
      <w:r>
        <w:t xml:space="preserve">Maintenance activities.</w:t>
      </w:r>
    </w:p>
    <w:p>
      <w:pPr>
        <w:pStyle w:val="Compact"/>
        <w:numPr>
          <w:ilvl w:val="0"/>
          <w:numId w:val="1008"/>
        </w:numPr>
      </w:pPr>
      <w:r>
        <w:t xml:space="preserve">Operational procedures.</w:t>
      </w:r>
    </w:p>
    <w:p>
      <w:pPr>
        <w:pStyle w:val="Compact"/>
        <w:numPr>
          <w:ilvl w:val="0"/>
          <w:numId w:val="1008"/>
        </w:numPr>
      </w:pPr>
      <w:r>
        <w:t xml:space="preserve">Policy implementation.</w:t>
      </w:r>
    </w:p>
    <w:p>
      <w:pPr>
        <w:pStyle w:val="FirstParagraph"/>
      </w:pPr>
      <w:r>
        <w:t xml:space="preserve">Compliance indicators support continuous improvement rather than punitive reporting alone.</w:t>
      </w:r>
    </w:p>
    <w:p>
      <w:r>
        <w:pict>
          <v:rect style="width:0;height:1.5pt" o:hralign="center" o:hrstd="t" o:hr="t"/>
        </w:pict>
      </w:r>
    </w:p>
    <w:bookmarkEnd w:id="32"/>
    <w:bookmarkStart w:id="33" w:name="corrective-action-management"/>
    <w:p>
      <w:pPr>
        <w:pStyle w:val="Heading1"/>
      </w:pPr>
      <w:r>
        <w:t xml:space="preserve">10.8 Corrective Action Management</w:t>
      </w:r>
    </w:p>
    <w:p>
      <w:pPr>
        <w:pStyle w:val="FirstParagraph"/>
      </w:pPr>
      <w:r>
        <w:t xml:space="preserve">Each inspection finding can generate one or more corrective actions.</w:t>
      </w:r>
    </w:p>
    <w:p>
      <w:pPr>
        <w:pStyle w:val="BodyText"/>
      </w:pPr>
      <w:r>
        <w:t xml:space="preserve">Each action includes:</w:t>
      </w:r>
    </w:p>
    <w:p>
      <w:pPr>
        <w:pStyle w:val="Compact"/>
        <w:numPr>
          <w:ilvl w:val="0"/>
          <w:numId w:val="1009"/>
        </w:numPr>
      </w:pPr>
      <w:r>
        <w:t xml:space="preserve">Reference number.</w:t>
      </w:r>
    </w:p>
    <w:p>
      <w:pPr>
        <w:pStyle w:val="Compact"/>
        <w:numPr>
          <w:ilvl w:val="0"/>
          <w:numId w:val="1009"/>
        </w:numPr>
      </w:pPr>
      <w:r>
        <w:t xml:space="preserve">Description.</w:t>
      </w:r>
    </w:p>
    <w:p>
      <w:pPr>
        <w:pStyle w:val="Compact"/>
        <w:numPr>
          <w:ilvl w:val="0"/>
          <w:numId w:val="1009"/>
        </w:numPr>
      </w:pPr>
      <w:r>
        <w:t xml:space="preserve">Responsible office.</w:t>
      </w:r>
    </w:p>
    <w:p>
      <w:pPr>
        <w:pStyle w:val="Compact"/>
        <w:numPr>
          <w:ilvl w:val="0"/>
          <w:numId w:val="1009"/>
        </w:numPr>
      </w:pPr>
      <w:r>
        <w:t xml:space="preserve">Responsible officer.</w:t>
      </w:r>
    </w:p>
    <w:p>
      <w:pPr>
        <w:pStyle w:val="Compact"/>
        <w:numPr>
          <w:ilvl w:val="0"/>
          <w:numId w:val="1009"/>
        </w:numPr>
      </w:pPr>
      <w:r>
        <w:t xml:space="preserve">Due date.</w:t>
      </w:r>
    </w:p>
    <w:p>
      <w:pPr>
        <w:pStyle w:val="Compact"/>
        <w:numPr>
          <w:ilvl w:val="0"/>
          <w:numId w:val="1009"/>
        </w:numPr>
      </w:pPr>
      <w:r>
        <w:t xml:space="preserve">Priority level.</w:t>
      </w:r>
    </w:p>
    <w:p>
      <w:pPr>
        <w:pStyle w:val="Compact"/>
        <w:numPr>
          <w:ilvl w:val="0"/>
          <w:numId w:val="1009"/>
        </w:numPr>
      </w:pPr>
      <w:r>
        <w:t xml:space="preserve">Supporting evidence.</w:t>
      </w:r>
    </w:p>
    <w:p>
      <w:pPr>
        <w:pStyle w:val="Compact"/>
        <w:numPr>
          <w:ilvl w:val="0"/>
          <w:numId w:val="1009"/>
        </w:numPr>
      </w:pPr>
      <w:r>
        <w:t xml:space="preserve">Completion status.</w:t>
      </w:r>
    </w:p>
    <w:p>
      <w:pPr>
        <w:pStyle w:val="Compact"/>
        <w:numPr>
          <w:ilvl w:val="0"/>
          <w:numId w:val="1009"/>
        </w:numPr>
      </w:pPr>
      <w:r>
        <w:t xml:space="preserve">Verification outcome.</w:t>
      </w:r>
    </w:p>
    <w:p>
      <w:pPr>
        <w:pStyle w:val="FirstParagraph"/>
      </w:pPr>
      <w:r>
        <w:t xml:space="preserve">This ensures that inspection recommendations are tracked through to resolution.</w:t>
      </w:r>
    </w:p>
    <w:p>
      <w:r>
        <w:pict>
          <v:rect style="width:0;height:1.5pt" o:hralign="center" o:hrstd="t" o:hr="t"/>
        </w:pict>
      </w:r>
    </w:p>
    <w:bookmarkEnd w:id="33"/>
    <w:bookmarkStart w:id="34" w:name="artificial-intelligence-opportunities"/>
    <w:p>
      <w:pPr>
        <w:pStyle w:val="Heading1"/>
      </w:pPr>
      <w:r>
        <w:t xml:space="preserve">10.9 Artificial Intelligence Opportunities</w:t>
      </w:r>
    </w:p>
    <w:p>
      <w:pPr>
        <w:pStyle w:val="FirstParagraph"/>
      </w:pPr>
      <w:r>
        <w:t xml:space="preserve">The AI Framework supports inspectors by:</w:t>
      </w:r>
    </w:p>
    <w:p>
      <w:pPr>
        <w:pStyle w:val="Compact"/>
        <w:numPr>
          <w:ilvl w:val="0"/>
          <w:numId w:val="1010"/>
        </w:numPr>
      </w:pPr>
      <w:r>
        <w:t xml:space="preserve">Identifying recurring compliance issues.</w:t>
      </w:r>
    </w:p>
    <w:p>
      <w:pPr>
        <w:pStyle w:val="Compact"/>
        <w:numPr>
          <w:ilvl w:val="0"/>
          <w:numId w:val="1010"/>
        </w:numPr>
      </w:pPr>
      <w:r>
        <w:t xml:space="preserve">Detecting unusual inspection patterns.</w:t>
      </w:r>
    </w:p>
    <w:p>
      <w:pPr>
        <w:pStyle w:val="Compact"/>
        <w:numPr>
          <w:ilvl w:val="0"/>
          <w:numId w:val="1010"/>
        </w:numPr>
      </w:pPr>
      <w:r>
        <w:t xml:space="preserve">Prioritizing high-risk schools for future inspections.</w:t>
      </w:r>
    </w:p>
    <w:p>
      <w:pPr>
        <w:pStyle w:val="Compact"/>
        <w:numPr>
          <w:ilvl w:val="0"/>
          <w:numId w:val="1010"/>
        </w:numPr>
      </w:pPr>
      <w:r>
        <w:t xml:space="preserve">Summarizing inspection findings.</w:t>
      </w:r>
    </w:p>
    <w:p>
      <w:pPr>
        <w:pStyle w:val="Compact"/>
        <w:numPr>
          <w:ilvl w:val="0"/>
          <w:numId w:val="1010"/>
        </w:numPr>
      </w:pPr>
      <w:r>
        <w:t xml:space="preserve">Recommending corrective action priorities.</w:t>
      </w:r>
    </w:p>
    <w:p>
      <w:pPr>
        <w:pStyle w:val="Compact"/>
        <w:numPr>
          <w:ilvl w:val="0"/>
          <w:numId w:val="1010"/>
        </w:numPr>
      </w:pPr>
      <w:r>
        <w:t xml:space="preserve">Identifying national trends.</w:t>
      </w:r>
    </w:p>
    <w:p>
      <w:pPr>
        <w:pStyle w:val="FirstParagraph"/>
      </w:pPr>
      <w:r>
        <w:t xml:space="preserve">All recommendations remain subject to review by authorized officials.</w:t>
      </w:r>
    </w:p>
    <w:p>
      <w:r>
        <w:pict>
          <v:rect style="width:0;height:1.5pt" o:hralign="center" o:hrstd="t" o:hr="t"/>
        </w:pict>
      </w:r>
    </w:p>
    <w:bookmarkEnd w:id="34"/>
    <w:bookmarkStart w:id="41" w:name="functional-requirements"/>
    <w:p>
      <w:pPr>
        <w:pStyle w:val="Heading1"/>
      </w:pPr>
      <w:r>
        <w:t xml:space="preserve">10.10 Functional Requirements</w:t>
      </w:r>
    </w:p>
    <w:bookmarkStart w:id="35" w:name="fr-insp-001"/>
    <w:p>
      <w:pPr>
        <w:pStyle w:val="Heading3"/>
      </w:pPr>
      <w:r>
        <w:t xml:space="preserve">FR-INSP-001</w:t>
      </w:r>
    </w:p>
    <w:p>
      <w:pPr>
        <w:pStyle w:val="FirstParagraph"/>
      </w:pPr>
      <w:r>
        <w:t xml:space="preserve">Plan and schedule inspections.</w:t>
      </w:r>
    </w:p>
    <w:p>
      <w:r>
        <w:pict>
          <v:rect style="width:0;height:1.5pt" o:hralign="center" o:hrstd="t" o:hr="t"/>
        </w:pict>
      </w:r>
    </w:p>
    <w:bookmarkEnd w:id="35"/>
    <w:bookmarkStart w:id="36" w:name="fr-insp-002"/>
    <w:p>
      <w:pPr>
        <w:pStyle w:val="Heading3"/>
      </w:pPr>
      <w:r>
        <w:t xml:space="preserve">FR-INSP-002</w:t>
      </w:r>
    </w:p>
    <w:p>
      <w:pPr>
        <w:pStyle w:val="FirstParagraph"/>
      </w:pPr>
      <w:r>
        <w:t xml:space="preserve">Support standardized digital inspection checklists.</w:t>
      </w:r>
    </w:p>
    <w:p>
      <w:r>
        <w:pict>
          <v:rect style="width:0;height:1.5pt" o:hralign="center" o:hrstd="t" o:hr="t"/>
        </w:pict>
      </w:r>
    </w:p>
    <w:bookmarkEnd w:id="36"/>
    <w:bookmarkStart w:id="37" w:name="fr-insp-003"/>
    <w:p>
      <w:pPr>
        <w:pStyle w:val="Heading3"/>
      </w:pPr>
      <w:r>
        <w:t xml:space="preserve">FR-INSP-003</w:t>
      </w:r>
    </w:p>
    <w:p>
      <w:pPr>
        <w:pStyle w:val="FirstParagraph"/>
      </w:pPr>
      <w:r>
        <w:t xml:space="preserve">Capture inspection evidence.</w:t>
      </w:r>
    </w:p>
    <w:p>
      <w:r>
        <w:pict>
          <v:rect style="width:0;height:1.5pt" o:hralign="center" o:hrstd="t" o:hr="t"/>
        </w:pict>
      </w:r>
    </w:p>
    <w:bookmarkEnd w:id="37"/>
    <w:bookmarkStart w:id="38" w:name="fr-insp-004"/>
    <w:p>
      <w:pPr>
        <w:pStyle w:val="Heading3"/>
      </w:pPr>
      <w:r>
        <w:t xml:space="preserve">FR-INSP-004</w:t>
      </w:r>
    </w:p>
    <w:p>
      <w:pPr>
        <w:pStyle w:val="FirstParagraph"/>
      </w:pPr>
      <w:r>
        <w:t xml:space="preserve">Manage findings and recommendations.</w:t>
      </w:r>
    </w:p>
    <w:p>
      <w:r>
        <w:pict>
          <v:rect style="width:0;height:1.5pt" o:hralign="center" o:hrstd="t" o:hr="t"/>
        </w:pict>
      </w:r>
    </w:p>
    <w:bookmarkEnd w:id="38"/>
    <w:bookmarkStart w:id="39" w:name="fr-insp-005"/>
    <w:p>
      <w:pPr>
        <w:pStyle w:val="Heading3"/>
      </w:pPr>
      <w:r>
        <w:t xml:space="preserve">FR-INSP-005</w:t>
      </w:r>
    </w:p>
    <w:p>
      <w:pPr>
        <w:pStyle w:val="FirstParagraph"/>
      </w:pPr>
      <w:r>
        <w:t xml:space="preserve">Track corrective actions through completion.</w:t>
      </w:r>
    </w:p>
    <w:p>
      <w:r>
        <w:pict>
          <v:rect style="width:0;height:1.5pt" o:hralign="center" o:hrstd="t" o:hr="t"/>
        </w:pict>
      </w:r>
    </w:p>
    <w:bookmarkEnd w:id="39"/>
    <w:bookmarkStart w:id="40" w:name="fr-insp-006"/>
    <w:p>
      <w:pPr>
        <w:pStyle w:val="Heading3"/>
      </w:pPr>
      <w:r>
        <w:t xml:space="preserve">FR-INSP-006</w:t>
      </w:r>
    </w:p>
    <w:p>
      <w:pPr>
        <w:pStyle w:val="FirstParagraph"/>
      </w:pPr>
      <w:r>
        <w:t xml:space="preserve">Generate inspection analytics and compliance reports.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key-performance-indicators"/>
    <w:p>
      <w:pPr>
        <w:pStyle w:val="Heading1"/>
      </w:pPr>
      <w:r>
        <w:t xml:space="preserve">10.11 Key Performance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11"/>
        </w:numPr>
      </w:pPr>
      <w:r>
        <w:t xml:space="preserve">Inspections completed.</w:t>
      </w:r>
    </w:p>
    <w:p>
      <w:pPr>
        <w:pStyle w:val="Compact"/>
        <w:numPr>
          <w:ilvl w:val="0"/>
          <w:numId w:val="1011"/>
        </w:numPr>
      </w:pPr>
      <w:r>
        <w:t xml:space="preserve">Inspection coverage.</w:t>
      </w:r>
    </w:p>
    <w:p>
      <w:pPr>
        <w:pStyle w:val="Compact"/>
        <w:numPr>
          <w:ilvl w:val="0"/>
          <w:numId w:val="1011"/>
        </w:numPr>
      </w:pPr>
      <w:r>
        <w:t xml:space="preserve">Average report completion time.</w:t>
      </w:r>
    </w:p>
    <w:p>
      <w:pPr>
        <w:pStyle w:val="Compact"/>
        <w:numPr>
          <w:ilvl w:val="0"/>
          <w:numId w:val="1011"/>
        </w:numPr>
      </w:pPr>
      <w:r>
        <w:t xml:space="preserve">Corrective action completion rate.</w:t>
      </w:r>
    </w:p>
    <w:p>
      <w:pPr>
        <w:pStyle w:val="Compact"/>
        <w:numPr>
          <w:ilvl w:val="0"/>
          <w:numId w:val="1011"/>
        </w:numPr>
      </w:pPr>
      <w:r>
        <w:t xml:space="preserve">Compliance improvement trends.</w:t>
      </w:r>
    </w:p>
    <w:p>
      <w:pPr>
        <w:pStyle w:val="Compact"/>
        <w:numPr>
          <w:ilvl w:val="0"/>
          <w:numId w:val="1011"/>
        </w:numPr>
      </w:pPr>
      <w:r>
        <w:t xml:space="preserve">Repeat findings.</w:t>
      </w:r>
    </w:p>
    <w:p>
      <w:pPr>
        <w:pStyle w:val="Compact"/>
        <w:numPr>
          <w:ilvl w:val="0"/>
          <w:numId w:val="1011"/>
        </w:numPr>
      </w:pPr>
      <w:r>
        <w:t xml:space="preserve">Resource verification accuracy.</w:t>
      </w:r>
    </w:p>
    <w:p>
      <w:pPr>
        <w:pStyle w:val="Compact"/>
        <w:numPr>
          <w:ilvl w:val="0"/>
          <w:numId w:val="1011"/>
        </w:numPr>
      </w:pPr>
      <w:r>
        <w:t xml:space="preserve">User satisfaction with inspection tools.</w:t>
      </w:r>
    </w:p>
    <w:p>
      <w:r>
        <w:pict>
          <v:rect style="width:0;height:1.5pt" o:hralign="center" o:hrstd="t" o:hr="t"/>
        </w:pict>
      </w:r>
    </w:p>
    <w:bookmarkEnd w:id="42"/>
    <w:bookmarkStart w:id="43" w:name="expected-benefits"/>
    <w:p>
      <w:pPr>
        <w:pStyle w:val="Heading1"/>
      </w:pPr>
      <w:r>
        <w:t xml:space="preserve">10.12 Expected Benefits</w:t>
      </w:r>
    </w:p>
    <w:p>
      <w:pPr>
        <w:pStyle w:val="FirstParagraph"/>
      </w:pPr>
      <w:r>
        <w:t xml:space="preserve">A digitally enabled inspection framework is expected to contribute to:</w:t>
      </w:r>
    </w:p>
    <w:p>
      <w:pPr>
        <w:pStyle w:val="Compact"/>
        <w:numPr>
          <w:ilvl w:val="0"/>
          <w:numId w:val="1012"/>
        </w:numPr>
      </w:pPr>
      <w:r>
        <w:t xml:space="preserve">Faster inspection reporting.</w:t>
      </w:r>
    </w:p>
    <w:p>
      <w:pPr>
        <w:pStyle w:val="Compact"/>
        <w:numPr>
          <w:ilvl w:val="0"/>
          <w:numId w:val="1012"/>
        </w:numPr>
      </w:pPr>
      <w:r>
        <w:t xml:space="preserve">More consistent inspection practices.</w:t>
      </w:r>
    </w:p>
    <w:p>
      <w:pPr>
        <w:pStyle w:val="Compact"/>
        <w:numPr>
          <w:ilvl w:val="0"/>
          <w:numId w:val="1012"/>
        </w:numPr>
      </w:pPr>
      <w:r>
        <w:t xml:space="preserve">Stronger evidence for decision-making.</w:t>
      </w:r>
    </w:p>
    <w:p>
      <w:pPr>
        <w:pStyle w:val="Compact"/>
        <w:numPr>
          <w:ilvl w:val="0"/>
          <w:numId w:val="1012"/>
        </w:numPr>
      </w:pPr>
      <w:r>
        <w:t xml:space="preserve">Improved compliance monitoring.</w:t>
      </w:r>
    </w:p>
    <w:p>
      <w:pPr>
        <w:pStyle w:val="Compact"/>
        <w:numPr>
          <w:ilvl w:val="0"/>
          <w:numId w:val="1012"/>
        </w:numPr>
      </w:pPr>
      <w:r>
        <w:t xml:space="preserve">Better follow-up of recommendations.</w:t>
      </w:r>
    </w:p>
    <w:p>
      <w:pPr>
        <w:pStyle w:val="Compact"/>
        <w:numPr>
          <w:ilvl w:val="0"/>
          <w:numId w:val="1012"/>
        </w:numPr>
      </w:pPr>
      <w:r>
        <w:t xml:space="preserve">Reduced administrative workload.</w:t>
      </w:r>
    </w:p>
    <w:p>
      <w:pPr>
        <w:pStyle w:val="Compact"/>
        <w:numPr>
          <w:ilvl w:val="0"/>
          <w:numId w:val="1012"/>
        </w:numPr>
      </w:pPr>
      <w:r>
        <w:t xml:space="preserve">Enhanced transparency and accountability.</w:t>
      </w:r>
    </w:p>
    <w:p>
      <w:pPr>
        <w:pStyle w:val="FirstParagraph"/>
      </w:pPr>
      <w:r>
        <w:t xml:space="preserve">The realization of these benefits depends on effective implementation, user adoption, and sustained institutional support.</w:t>
      </w:r>
    </w:p>
    <w:p>
      <w:r>
        <w:pict>
          <v:rect style="width:0;height:1.5pt" o:hralign="center" o:hrstd="t" o:hr="t"/>
        </w:pict>
      </w:r>
    </w:p>
    <w:bookmarkEnd w:id="43"/>
    <w:bookmarkStart w:id="44" w:name="chapter-summary"/>
    <w:p>
      <w:pPr>
        <w:pStyle w:val="Heading1"/>
      </w:pPr>
      <w:r>
        <w:t xml:space="preserve">10.13 Chapter Summary</w:t>
      </w:r>
    </w:p>
    <w:p>
      <w:pPr>
        <w:pStyle w:val="FirstParagraph"/>
      </w:pPr>
      <w:r>
        <w:t xml:space="preserve">The National School Inspection, Verification and Compliance Framework modernizes education oversight by combining standardized digital inspections, structured evidence collection, corrective action management, and integrated analytics.</w:t>
      </w:r>
    </w:p>
    <w:p>
      <w:pPr>
        <w:pStyle w:val="BodyText"/>
      </w:pPr>
      <w:r>
        <w:t xml:space="preserve">By linking inspections with textbook management, asset passports, school operations, monitoring, and executive dashboards, EduOS Cameroon transforms inspection activities into a continuous improvement mechanism that strengthens governance, protects public investments, and supports better educational service delivery across Cameroon.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2026-07-10T14:18:50Z</dcterms:created>
  <dcterms:modified xsi:type="dcterms:W3CDTF">2026-07-10T14:18:50Z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