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4"/>
    <w:p>
      <w:pPr>
        <w:pStyle w:val="Heading1"/>
      </w:pPr>
      <w:r>
        <w:t xml:space="preserve">CHAPTER 24</w:t>
      </w:r>
    </w:p>
    <w:bookmarkEnd w:id="20"/>
    <w:bookmarkStart w:id="22" w:name="Xb8e571dc4d7261f8fcf567e09d86a1053e8d967"/>
    <w:p>
      <w:pPr>
        <w:pStyle w:val="Heading1"/>
      </w:pPr>
      <w:r>
        <w:t xml:space="preserve">NATIONAL SUSTAINABILITY, INNOVATION AND FUTURE EVOLUTION FRAMEWORK</w:t>
      </w:r>
    </w:p>
    <w:bookmarkStart w:id="21" w:name="introduction"/>
    <w:p>
      <w:pPr>
        <w:pStyle w:val="Heading2"/>
      </w:pPr>
      <w:r>
        <w:t xml:space="preserve">24.1 Introduction</w:t>
      </w:r>
    </w:p>
    <w:p>
      <w:pPr>
        <w:pStyle w:val="FirstParagraph"/>
      </w:pPr>
      <w:r>
        <w:t xml:space="preserve">National digital transformation programmes must be designed not only for immediate implementation but also for long-term sustainability.</w:t>
      </w:r>
    </w:p>
    <w:p>
      <w:pPr>
        <w:pStyle w:val="BodyText"/>
      </w:pPr>
      <w:r>
        <w:t xml:space="preserve">Education priorities evolve, technologies advance, institutional needs change, and new policy requirements emerge over time. A sustainable digital platform must therefore support continuous innovation while maintaining operational stability, institutional ownership, and public trust.</w:t>
      </w:r>
    </w:p>
    <w:p>
      <w:pPr>
        <w:pStyle w:val="BodyText"/>
      </w:pPr>
      <w:r>
        <w:t xml:space="preserve">EduOS Cameroon is designed as a long-term national capability that can evolve incrementally without requiring repeated large-scale system replacement projects.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24.2 Vision</w:t>
      </w:r>
    </w:p>
    <w:p>
      <w:pPr>
        <w:pStyle w:val="FirstParagraph"/>
      </w:pPr>
      <w:r>
        <w:t xml:space="preserve">To establish a sustainable education digital public infrastructure that continuously adapts to national priorities, technological innovation, and evolving educational needs while protecting previous investments.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24.3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Ensure long-term sustainability.</w:t>
      </w:r>
    </w:p>
    <w:p>
      <w:pPr>
        <w:pStyle w:val="Compact"/>
        <w:numPr>
          <w:ilvl w:val="0"/>
          <w:numId w:val="1001"/>
        </w:numPr>
      </w:pPr>
      <w:r>
        <w:t xml:space="preserve">Encourage continuous innovation.</w:t>
      </w:r>
    </w:p>
    <w:p>
      <w:pPr>
        <w:pStyle w:val="Compact"/>
        <w:numPr>
          <w:ilvl w:val="0"/>
          <w:numId w:val="1001"/>
        </w:numPr>
      </w:pPr>
      <w:r>
        <w:t xml:space="preserve">Protect public investments.</w:t>
      </w:r>
    </w:p>
    <w:p>
      <w:pPr>
        <w:pStyle w:val="Compact"/>
        <w:numPr>
          <w:ilvl w:val="0"/>
          <w:numId w:val="1001"/>
        </w:numPr>
      </w:pPr>
      <w:r>
        <w:t xml:space="preserve">Support technology modernization.</w:t>
      </w:r>
    </w:p>
    <w:p>
      <w:pPr>
        <w:pStyle w:val="Compact"/>
        <w:numPr>
          <w:ilvl w:val="0"/>
          <w:numId w:val="1001"/>
        </w:numPr>
      </w:pPr>
      <w:r>
        <w:t xml:space="preserve">Strengthen institutional ownership.</w:t>
      </w:r>
    </w:p>
    <w:p>
      <w:pPr>
        <w:pStyle w:val="Compact"/>
        <w:numPr>
          <w:ilvl w:val="0"/>
          <w:numId w:val="1001"/>
        </w:numPr>
      </w:pPr>
      <w:r>
        <w:t xml:space="preserve">Promote local technical capacity.</w:t>
      </w:r>
    </w:p>
    <w:p>
      <w:pPr>
        <w:pStyle w:val="Compact"/>
        <w:numPr>
          <w:ilvl w:val="0"/>
          <w:numId w:val="1001"/>
        </w:numPr>
      </w:pPr>
      <w:r>
        <w:t xml:space="preserve">Encourage ecosystem collaboration.</w:t>
      </w:r>
    </w:p>
    <w:p>
      <w:pPr>
        <w:pStyle w:val="Compact"/>
        <w:numPr>
          <w:ilvl w:val="0"/>
          <w:numId w:val="1001"/>
        </w:numPr>
      </w:pPr>
      <w:r>
        <w:t xml:space="preserve">Maintain operational continuity.</w:t>
      </w:r>
    </w:p>
    <w:p>
      <w:r>
        <w:pict>
          <v:rect style="width:0;height:1.5pt" o:hralign="center" o:hrstd="t" o:hr="t"/>
        </w:pict>
      </w:r>
    </w:p>
    <w:bookmarkEnd w:id="24"/>
    <w:bookmarkStart w:id="30" w:name="sustainability-pillars"/>
    <w:p>
      <w:pPr>
        <w:pStyle w:val="Heading1"/>
      </w:pPr>
      <w:r>
        <w:t xml:space="preserve">24.4 Sustainability Pillars</w:t>
      </w:r>
    </w:p>
    <w:p>
      <w:pPr>
        <w:pStyle w:val="FirstParagraph"/>
      </w:pPr>
      <w:r>
        <w:t xml:space="preserve">The long-term sustainability of EduOS Cameroon is based on five complementary pillars.</w:t>
      </w:r>
    </w:p>
    <w:bookmarkStart w:id="25" w:name="institutional-sustainability"/>
    <w:p>
      <w:pPr>
        <w:pStyle w:val="Heading3"/>
      </w:pPr>
      <w:r>
        <w:t xml:space="preserve">Institutional Sustainability</w:t>
      </w:r>
    </w:p>
    <w:p>
      <w:pPr>
        <w:pStyle w:val="FirstParagraph"/>
      </w:pPr>
      <w:r>
        <w:t xml:space="preserve">Ensure that governance, ownership, and operational responsibilities remain embedded within national institutions.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sustainability"/>
    <w:p>
      <w:pPr>
        <w:pStyle w:val="Heading3"/>
      </w:pPr>
      <w:r>
        <w:t xml:space="preserve">Technical Sustainability</w:t>
      </w:r>
    </w:p>
    <w:p>
      <w:pPr>
        <w:pStyle w:val="FirstParagraph"/>
      </w:pPr>
      <w:r>
        <w:t xml:space="preserve">Maintain a modular architecture that supports upgrades, expansion, and modernization without disrupting core services.</w:t>
      </w:r>
    </w:p>
    <w:p>
      <w:r>
        <w:pict>
          <v:rect style="width:0;height:1.5pt" o:hralign="center" o:hrstd="t" o:hr="t"/>
        </w:pict>
      </w:r>
    </w:p>
    <w:bookmarkEnd w:id="26"/>
    <w:bookmarkStart w:id="27" w:name="financial-sustainability"/>
    <w:p>
      <w:pPr>
        <w:pStyle w:val="Heading3"/>
      </w:pPr>
      <w:r>
        <w:t xml:space="preserve">Financial Sustainability</w:t>
      </w:r>
    </w:p>
    <w:p>
      <w:pPr>
        <w:pStyle w:val="FirstParagraph"/>
      </w:pPr>
      <w:r>
        <w:t xml:space="preserve">Support long-term operational planning, maintenance, infrastructure renewal, and capacity development through sustainable funding approaches.</w:t>
      </w:r>
    </w:p>
    <w:p>
      <w:r>
        <w:pict>
          <v:rect style="width:0;height:1.5pt" o:hralign="center" o:hrstd="t" o:hr="t"/>
        </w:pict>
      </w:r>
    </w:p>
    <w:bookmarkEnd w:id="27"/>
    <w:bookmarkStart w:id="28" w:name="human-capacity-sustainability"/>
    <w:p>
      <w:pPr>
        <w:pStyle w:val="Heading3"/>
      </w:pPr>
      <w:r>
        <w:t xml:space="preserve">Human Capacity Sustainability</w:t>
      </w:r>
    </w:p>
    <w:p>
      <w:pPr>
        <w:pStyle w:val="FirstParagraph"/>
      </w:pPr>
      <w:r>
        <w:t xml:space="preserve">Develop and retain technical, operational, and managerial competencies across national, regional, and school levels.</w:t>
      </w:r>
    </w:p>
    <w:p>
      <w:r>
        <w:pict>
          <v:rect style="width:0;height:1.5pt" o:hralign="center" o:hrstd="t" o:hr="t"/>
        </w:pict>
      </w:r>
    </w:p>
    <w:bookmarkEnd w:id="28"/>
    <w:bookmarkStart w:id="29" w:name="knowledge-sustainability"/>
    <w:p>
      <w:pPr>
        <w:pStyle w:val="Heading3"/>
      </w:pPr>
      <w:r>
        <w:t xml:space="preserve">Knowledge Sustainability</w:t>
      </w:r>
    </w:p>
    <w:p>
      <w:pPr>
        <w:pStyle w:val="FirstParagraph"/>
      </w:pPr>
      <w:r>
        <w:t xml:space="preserve">Maintain comprehensive documentation, training resources, operational procedures, and institutional knowledge repositories.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novation-framework"/>
    <w:p>
      <w:pPr>
        <w:pStyle w:val="Heading1"/>
      </w:pPr>
      <w:r>
        <w:t xml:space="preserve">24.5 Innovation Framework</w:t>
      </w:r>
    </w:p>
    <w:p>
      <w:pPr>
        <w:pStyle w:val="FirstParagraph"/>
      </w:pPr>
      <w:r>
        <w:t xml:space="preserve">Innovation should be managed through structured processes rather than ad hoc technology adoption.</w:t>
      </w:r>
    </w:p>
    <w:p>
      <w:pPr>
        <w:pStyle w:val="BodyText"/>
      </w:pPr>
      <w:r>
        <w:t xml:space="preserve">Illustrative innovation activities include:</w:t>
      </w:r>
    </w:p>
    <w:p>
      <w:pPr>
        <w:pStyle w:val="Compact"/>
        <w:numPr>
          <w:ilvl w:val="0"/>
          <w:numId w:val="1002"/>
        </w:numPr>
      </w:pPr>
      <w:r>
        <w:t xml:space="preserve">Pilot projects.</w:t>
      </w:r>
    </w:p>
    <w:p>
      <w:pPr>
        <w:pStyle w:val="Compact"/>
        <w:numPr>
          <w:ilvl w:val="0"/>
          <w:numId w:val="1002"/>
        </w:numPr>
      </w:pPr>
      <w:r>
        <w:t xml:space="preserve">Technology evaluations.</w:t>
      </w:r>
    </w:p>
    <w:p>
      <w:pPr>
        <w:pStyle w:val="Compact"/>
        <w:numPr>
          <w:ilvl w:val="0"/>
          <w:numId w:val="1002"/>
        </w:numPr>
      </w:pPr>
      <w:r>
        <w:t xml:space="preserve">User-driven improvements.</w:t>
      </w:r>
    </w:p>
    <w:p>
      <w:pPr>
        <w:pStyle w:val="Compact"/>
        <w:numPr>
          <w:ilvl w:val="0"/>
          <w:numId w:val="1002"/>
        </w:numPr>
      </w:pPr>
      <w:r>
        <w:t xml:space="preserve">Academic collaboration.</w:t>
      </w:r>
    </w:p>
    <w:p>
      <w:pPr>
        <w:pStyle w:val="Compact"/>
        <w:numPr>
          <w:ilvl w:val="0"/>
          <w:numId w:val="1002"/>
        </w:numPr>
      </w:pPr>
      <w:r>
        <w:t xml:space="preserve">Research partnerships.</w:t>
      </w:r>
    </w:p>
    <w:p>
      <w:pPr>
        <w:pStyle w:val="Compact"/>
        <w:numPr>
          <w:ilvl w:val="0"/>
          <w:numId w:val="1002"/>
        </w:numPr>
      </w:pPr>
      <w:r>
        <w:t xml:space="preserve">Continuous platform enhancement.</w:t>
      </w:r>
    </w:p>
    <w:p>
      <w:pPr>
        <w:pStyle w:val="FirstParagraph"/>
      </w:pPr>
      <w:r>
        <w:t xml:space="preserve">Innovation proposals should be assessed for feasibility, value, security, interoperability, and sustainability before implementation.</w:t>
      </w:r>
    </w:p>
    <w:p>
      <w:r>
        <w:pict>
          <v:rect style="width:0;height:1.5pt" o:hralign="center" o:hrstd="t" o:hr="t"/>
        </w:pict>
      </w:r>
    </w:p>
    <w:bookmarkEnd w:id="31"/>
    <w:bookmarkStart w:id="32" w:name="future-technology-readiness"/>
    <w:p>
      <w:pPr>
        <w:pStyle w:val="Heading1"/>
      </w:pPr>
      <w:r>
        <w:t xml:space="preserve">24.6 Future Technology Readiness</w:t>
      </w:r>
    </w:p>
    <w:p>
      <w:pPr>
        <w:pStyle w:val="FirstParagraph"/>
      </w:pPr>
      <w:r>
        <w:t xml:space="preserve">The platform architecture is designed to accommodate future technologies where appropriate, including:</w:t>
      </w:r>
    </w:p>
    <w:p>
      <w:pPr>
        <w:pStyle w:val="Compact"/>
        <w:numPr>
          <w:ilvl w:val="0"/>
          <w:numId w:val="1003"/>
        </w:numPr>
      </w:pPr>
      <w:r>
        <w:t xml:space="preserve">Advanced Artificial Intelligence.</w:t>
      </w:r>
    </w:p>
    <w:p>
      <w:pPr>
        <w:pStyle w:val="Compact"/>
        <w:numPr>
          <w:ilvl w:val="0"/>
          <w:numId w:val="1003"/>
        </w:numPr>
      </w:pPr>
      <w:r>
        <w:t xml:space="preserve">Internet of Things (IoT) devices.</w:t>
      </w:r>
    </w:p>
    <w:p>
      <w:pPr>
        <w:pStyle w:val="Compact"/>
        <w:numPr>
          <w:ilvl w:val="0"/>
          <w:numId w:val="1003"/>
        </w:numPr>
      </w:pPr>
      <w:r>
        <w:t xml:space="preserve">Smart classrooms.</w:t>
      </w:r>
    </w:p>
    <w:p>
      <w:pPr>
        <w:pStyle w:val="Compact"/>
        <w:numPr>
          <w:ilvl w:val="0"/>
          <w:numId w:val="1003"/>
        </w:numPr>
      </w:pPr>
      <w:r>
        <w:t xml:space="preserve">Digital learning resources.</w:t>
      </w:r>
    </w:p>
    <w:p>
      <w:pPr>
        <w:pStyle w:val="Compact"/>
        <w:numPr>
          <w:ilvl w:val="0"/>
          <w:numId w:val="1003"/>
        </w:numPr>
      </w:pPr>
      <w:r>
        <w:t xml:space="preserve">Enhanced geospatial analytics.</w:t>
      </w:r>
    </w:p>
    <w:p>
      <w:pPr>
        <w:pStyle w:val="Compact"/>
        <w:numPr>
          <w:ilvl w:val="0"/>
          <w:numId w:val="1003"/>
        </w:numPr>
      </w:pPr>
      <w:r>
        <w:t xml:space="preserve">Advanced document automation.</w:t>
      </w:r>
    </w:p>
    <w:p>
      <w:pPr>
        <w:pStyle w:val="Compact"/>
        <w:numPr>
          <w:ilvl w:val="0"/>
          <w:numId w:val="1003"/>
        </w:numPr>
      </w:pPr>
      <w:r>
        <w:t xml:space="preserve">Emerging interoperability standards.</w:t>
      </w:r>
    </w:p>
    <w:p>
      <w:pPr>
        <w:pStyle w:val="FirstParagraph"/>
      </w:pPr>
      <w:r>
        <w:t xml:space="preserve">Future adoption remains subject to national priorities, policy decisions, and operational feasibility.</w:t>
      </w:r>
    </w:p>
    <w:p>
      <w:r>
        <w:pict>
          <v:rect style="width:0;height:1.5pt" o:hralign="center" o:hrstd="t" o:hr="t"/>
        </w:pict>
      </w:r>
    </w:p>
    <w:bookmarkEnd w:id="32"/>
    <w:bookmarkStart w:id="33" w:name="national-digital-innovation-ecosystem"/>
    <w:p>
      <w:pPr>
        <w:pStyle w:val="Heading1"/>
      </w:pPr>
      <w:r>
        <w:t xml:space="preserve">24.7 National Digital Innovation Ecosystem</w:t>
      </w:r>
    </w:p>
    <w:p>
      <w:pPr>
        <w:pStyle w:val="FirstParagraph"/>
      </w:pPr>
      <w:r>
        <w:t xml:space="preserve">EduOS Cameroon encourages collaboration among:</w:t>
      </w:r>
    </w:p>
    <w:p>
      <w:pPr>
        <w:pStyle w:val="Compact"/>
        <w:numPr>
          <w:ilvl w:val="0"/>
          <w:numId w:val="1004"/>
        </w:numPr>
      </w:pPr>
      <w:r>
        <w:t xml:space="preserve">Government institutions.</w:t>
      </w:r>
    </w:p>
    <w:p>
      <w:pPr>
        <w:pStyle w:val="Compact"/>
        <w:numPr>
          <w:ilvl w:val="0"/>
          <w:numId w:val="1004"/>
        </w:numPr>
      </w:pPr>
      <w:r>
        <w:t xml:space="preserve">Universities.</w:t>
      </w:r>
    </w:p>
    <w:p>
      <w:pPr>
        <w:pStyle w:val="Compact"/>
        <w:numPr>
          <w:ilvl w:val="0"/>
          <w:numId w:val="1004"/>
        </w:numPr>
      </w:pPr>
      <w:r>
        <w:t xml:space="preserve">Technical institutes.</w:t>
      </w:r>
    </w:p>
    <w:p>
      <w:pPr>
        <w:pStyle w:val="Compact"/>
        <w:numPr>
          <w:ilvl w:val="0"/>
          <w:numId w:val="1004"/>
        </w:numPr>
      </w:pPr>
      <w:r>
        <w:t xml:space="preserve">Research organizations.</w:t>
      </w:r>
    </w:p>
    <w:p>
      <w:pPr>
        <w:pStyle w:val="Compact"/>
        <w:numPr>
          <w:ilvl w:val="0"/>
          <w:numId w:val="1004"/>
        </w:numPr>
      </w:pPr>
      <w:r>
        <w:t xml:space="preserve">Local software developers.</w:t>
      </w:r>
    </w:p>
    <w:p>
      <w:pPr>
        <w:pStyle w:val="Compact"/>
        <w:numPr>
          <w:ilvl w:val="0"/>
          <w:numId w:val="1004"/>
        </w:numPr>
      </w:pPr>
      <w:r>
        <w:t xml:space="preserve">Technology partners.</w:t>
      </w:r>
    </w:p>
    <w:p>
      <w:pPr>
        <w:pStyle w:val="Compact"/>
        <w:numPr>
          <w:ilvl w:val="0"/>
          <w:numId w:val="1004"/>
        </w:numPr>
      </w:pPr>
      <w:r>
        <w:t xml:space="preserve">Development partners.</w:t>
      </w:r>
    </w:p>
    <w:p>
      <w:pPr>
        <w:pStyle w:val="FirstParagraph"/>
      </w:pPr>
      <w:r>
        <w:t xml:space="preserve">This collaborative ecosystem promotes continuous learning and locally relevant innovation.</w:t>
      </w:r>
    </w:p>
    <w:p>
      <w:r>
        <w:pict>
          <v:rect style="width:0;height:1.5pt" o:hralign="center" o:hrstd="t" o:hr="t"/>
        </w:pict>
      </w:r>
    </w:p>
    <w:bookmarkEnd w:id="33"/>
    <w:bookmarkStart w:id="34" w:name="local-capacity-development"/>
    <w:p>
      <w:pPr>
        <w:pStyle w:val="Heading1"/>
      </w:pPr>
      <w:r>
        <w:t xml:space="preserve">24.8 Local Capacity Development</w:t>
      </w:r>
    </w:p>
    <w:p>
      <w:pPr>
        <w:pStyle w:val="FirstParagraph"/>
      </w:pPr>
      <w:r>
        <w:t xml:space="preserve">Long-term sustainability depends on strengthening national expertise.</w:t>
      </w:r>
    </w:p>
    <w:p>
      <w:pPr>
        <w:pStyle w:val="BodyText"/>
      </w:pPr>
      <w:r>
        <w:t xml:space="preserve">Illustrative initiatives include:</w:t>
      </w:r>
    </w:p>
    <w:p>
      <w:pPr>
        <w:pStyle w:val="Compact"/>
        <w:numPr>
          <w:ilvl w:val="0"/>
          <w:numId w:val="1005"/>
        </w:numPr>
      </w:pPr>
      <w:r>
        <w:t xml:space="preserve">Technical certification programmes.</w:t>
      </w:r>
    </w:p>
    <w:p>
      <w:pPr>
        <w:pStyle w:val="Compact"/>
        <w:numPr>
          <w:ilvl w:val="0"/>
          <w:numId w:val="1005"/>
        </w:numPr>
      </w:pPr>
      <w:r>
        <w:t xml:space="preserve">Professional development.</w:t>
      </w:r>
    </w:p>
    <w:p>
      <w:pPr>
        <w:pStyle w:val="Compact"/>
        <w:numPr>
          <w:ilvl w:val="0"/>
          <w:numId w:val="1005"/>
        </w:numPr>
      </w:pPr>
      <w:r>
        <w:t xml:space="preserve">Internship opportunities.</w:t>
      </w:r>
    </w:p>
    <w:p>
      <w:pPr>
        <w:pStyle w:val="Compact"/>
        <w:numPr>
          <w:ilvl w:val="0"/>
          <w:numId w:val="1005"/>
        </w:numPr>
      </w:pPr>
      <w:r>
        <w:t xml:space="preserve">Knowledge transfer.</w:t>
      </w:r>
    </w:p>
    <w:p>
      <w:pPr>
        <w:pStyle w:val="Compact"/>
        <w:numPr>
          <w:ilvl w:val="0"/>
          <w:numId w:val="1005"/>
        </w:numPr>
      </w:pPr>
      <w:r>
        <w:t xml:space="preserve">Documentation standards.</w:t>
      </w:r>
    </w:p>
    <w:p>
      <w:pPr>
        <w:pStyle w:val="Compact"/>
        <w:numPr>
          <w:ilvl w:val="0"/>
          <w:numId w:val="1005"/>
        </w:numPr>
      </w:pPr>
      <w:r>
        <w:t xml:space="preserve">Communities of practice.</w:t>
      </w:r>
    </w:p>
    <w:p>
      <w:pPr>
        <w:pStyle w:val="FirstParagraph"/>
      </w:pPr>
      <w:r>
        <w:t xml:space="preserve">These initiatives support institutional resilience and reduce dependence on external expertise.</w:t>
      </w:r>
    </w:p>
    <w:p>
      <w:r>
        <w:pict>
          <v:rect style="width:0;height:1.5pt" o:hralign="center" o:hrstd="t" o:hr="t"/>
        </w:pict>
      </w:r>
    </w:p>
    <w:bookmarkEnd w:id="34"/>
    <w:bookmarkStart w:id="35" w:name="platform-evolution-roadmap"/>
    <w:p>
      <w:pPr>
        <w:pStyle w:val="Heading1"/>
      </w:pPr>
      <w:r>
        <w:t xml:space="preserve">24.9 Platform Evolution Roadmap</w:t>
      </w:r>
    </w:p>
    <w:p>
      <w:pPr>
        <w:pStyle w:val="FirstParagraph"/>
      </w:pPr>
      <w:r>
        <w:t xml:space="preserve">Illustrative long-term evolution stages include:</w:t>
      </w:r>
    </w:p>
    <w:p>
      <w:pPr>
        <w:pStyle w:val="BodyText"/>
      </w:pPr>
      <w:r>
        <w:rPr>
          <w:rStyle w:val="VerbatimChar"/>
        </w:rPr>
        <w:t xml:space="preserve">text id="future001" Foundation       │       ▼ National Deployment       │       ▼ Operational Optimization       │       ▼ Advanced Analytics       │       ▼ AI-Assisted Decision Support       │       ▼ Continuous Innovation</w:t>
      </w:r>
    </w:p>
    <w:p>
      <w:pPr>
        <w:pStyle w:val="BodyText"/>
      </w:pPr>
      <w:r>
        <w:t xml:space="preserve">The roadmap reflects a progressive approach to capability development.</w:t>
      </w:r>
    </w:p>
    <w:p>
      <w:r>
        <w:pict>
          <v:rect style="width:0;height:1.5pt" o:hralign="center" o:hrstd="t" o:hr="t"/>
        </w:pict>
      </w:r>
    </w:p>
    <w:bookmarkEnd w:id="35"/>
    <w:bookmarkStart w:id="42" w:name="functional-requirements"/>
    <w:p>
      <w:pPr>
        <w:pStyle w:val="Heading1"/>
      </w:pPr>
      <w:r>
        <w:t xml:space="preserve">24.10 Functional Requirements</w:t>
      </w:r>
    </w:p>
    <w:bookmarkStart w:id="36" w:name="fr-sus-001"/>
    <w:p>
      <w:pPr>
        <w:pStyle w:val="Heading3"/>
      </w:pPr>
      <w:r>
        <w:t xml:space="preserve">FR-SUS-001</w:t>
      </w:r>
    </w:p>
    <w:p>
      <w:pPr>
        <w:pStyle w:val="FirstParagraph"/>
      </w:pPr>
      <w:r>
        <w:t xml:space="preserve">Support modular platform expansion.</w:t>
      </w:r>
    </w:p>
    <w:p>
      <w:r>
        <w:pict>
          <v:rect style="width:0;height:1.5pt" o:hralign="center" o:hrstd="t" o:hr="t"/>
        </w:pict>
      </w:r>
    </w:p>
    <w:bookmarkEnd w:id="36"/>
    <w:bookmarkStart w:id="37" w:name="fr-sus-002"/>
    <w:p>
      <w:pPr>
        <w:pStyle w:val="Heading3"/>
      </w:pPr>
      <w:r>
        <w:t xml:space="preserve">FR-SUS-002</w:t>
      </w:r>
    </w:p>
    <w:p>
      <w:pPr>
        <w:pStyle w:val="FirstParagraph"/>
      </w:pPr>
      <w:r>
        <w:t xml:space="preserve">Maintain comprehensive technical documentation.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fr-sus-003"/>
    <w:p>
      <w:pPr>
        <w:pStyle w:val="Heading3"/>
      </w:pPr>
      <w:r>
        <w:t xml:space="preserve">FR-SUS-003</w:t>
      </w:r>
    </w:p>
    <w:p>
      <w:pPr>
        <w:pStyle w:val="FirstParagraph"/>
      </w:pPr>
      <w:r>
        <w:t xml:space="preserve">Support structured innovation management.</w:t>
      </w:r>
    </w:p>
    <w:p>
      <w:r>
        <w:pict>
          <v:rect style="width:0;height:1.5pt" o:hralign="center" o:hrstd="t" o:hr="t"/>
        </w:pict>
      </w:r>
    </w:p>
    <w:bookmarkEnd w:id="38"/>
    <w:bookmarkStart w:id="39" w:name="fr-sus-004"/>
    <w:p>
      <w:pPr>
        <w:pStyle w:val="Heading3"/>
      </w:pPr>
      <w:r>
        <w:t xml:space="preserve">FR-SUS-004</w:t>
      </w:r>
    </w:p>
    <w:p>
      <w:pPr>
        <w:pStyle w:val="FirstParagraph"/>
      </w:pPr>
      <w:r>
        <w:t xml:space="preserve">Provide mechanisms for continuous platform enhancement.</w:t>
      </w:r>
    </w:p>
    <w:p>
      <w:r>
        <w:pict>
          <v:rect style="width:0;height:1.5pt" o:hralign="center" o:hrstd="t" o:hr="t"/>
        </w:pict>
      </w:r>
    </w:p>
    <w:bookmarkEnd w:id="39"/>
    <w:bookmarkStart w:id="40" w:name="fr-sus-005"/>
    <w:p>
      <w:pPr>
        <w:pStyle w:val="Heading3"/>
      </w:pPr>
      <w:r>
        <w:t xml:space="preserve">FR-SUS-005</w:t>
      </w:r>
    </w:p>
    <w:p>
      <w:pPr>
        <w:pStyle w:val="FirstParagraph"/>
      </w:pPr>
      <w:r>
        <w:t xml:space="preserve">Support institutional knowledge management.</w:t>
      </w:r>
    </w:p>
    <w:p>
      <w:r>
        <w:pict>
          <v:rect style="width:0;height:1.5pt" o:hralign="center" o:hrstd="t" o:hr="t"/>
        </w:pict>
      </w:r>
    </w:p>
    <w:bookmarkEnd w:id="40"/>
    <w:bookmarkStart w:id="41" w:name="fr-sus-006"/>
    <w:p>
      <w:pPr>
        <w:pStyle w:val="Heading3"/>
      </w:pPr>
      <w:r>
        <w:t xml:space="preserve">FR-SUS-006</w:t>
      </w:r>
    </w:p>
    <w:p>
      <w:pPr>
        <w:pStyle w:val="FirstParagraph"/>
      </w:pPr>
      <w:r>
        <w:t xml:space="preserve">Facilitate long-term technical capacity development.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key-performance-indicators"/>
    <w:p>
      <w:pPr>
        <w:pStyle w:val="Heading1"/>
      </w:pPr>
      <w:r>
        <w:t xml:space="preserve">24.11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06"/>
        </w:numPr>
      </w:pPr>
      <w:r>
        <w:t xml:space="preserve">Platform upgrade success rate.</w:t>
      </w:r>
    </w:p>
    <w:p>
      <w:pPr>
        <w:pStyle w:val="Compact"/>
        <w:numPr>
          <w:ilvl w:val="0"/>
          <w:numId w:val="1006"/>
        </w:numPr>
      </w:pPr>
      <w:r>
        <w:t xml:space="preserve">Number of innovation initiatives implemented.</w:t>
      </w:r>
    </w:p>
    <w:p>
      <w:pPr>
        <w:pStyle w:val="Compact"/>
        <w:numPr>
          <w:ilvl w:val="0"/>
          <w:numId w:val="1006"/>
        </w:numPr>
      </w:pPr>
      <w:r>
        <w:t xml:space="preserve">Technical staff certification rates.</w:t>
      </w:r>
    </w:p>
    <w:p>
      <w:pPr>
        <w:pStyle w:val="Compact"/>
        <w:numPr>
          <w:ilvl w:val="0"/>
          <w:numId w:val="1006"/>
        </w:numPr>
      </w:pPr>
      <w:r>
        <w:t xml:space="preserve">Knowledge transfer completion.</w:t>
      </w:r>
    </w:p>
    <w:p>
      <w:pPr>
        <w:pStyle w:val="Compact"/>
        <w:numPr>
          <w:ilvl w:val="0"/>
          <w:numId w:val="1006"/>
        </w:numPr>
      </w:pPr>
      <w:r>
        <w:t xml:space="preserve">Platform maintainability.</w:t>
      </w:r>
    </w:p>
    <w:p>
      <w:pPr>
        <w:pStyle w:val="Compact"/>
        <w:numPr>
          <w:ilvl w:val="0"/>
          <w:numId w:val="1006"/>
        </w:numPr>
      </w:pPr>
      <w:r>
        <w:t xml:space="preserve">Documentation quality.</w:t>
      </w:r>
    </w:p>
    <w:p>
      <w:pPr>
        <w:pStyle w:val="Compact"/>
        <w:numPr>
          <w:ilvl w:val="0"/>
          <w:numId w:val="1006"/>
        </w:numPr>
      </w:pPr>
      <w:r>
        <w:t xml:space="preserve">User-driven improvements adopted.</w:t>
      </w:r>
    </w:p>
    <w:p>
      <w:pPr>
        <w:pStyle w:val="Compact"/>
        <w:numPr>
          <w:ilvl w:val="0"/>
          <w:numId w:val="1006"/>
        </w:numPr>
      </w:pPr>
      <w:r>
        <w:t xml:space="preserve">Long-term operational availability.</w:t>
      </w:r>
    </w:p>
    <w:p>
      <w:r>
        <w:pict>
          <v:rect style="width:0;height:1.5pt" o:hralign="center" o:hrstd="t" o:hr="t"/>
        </w:pict>
      </w:r>
    </w:p>
    <w:bookmarkEnd w:id="43"/>
    <w:bookmarkStart w:id="44" w:name="expected-benefits"/>
    <w:p>
      <w:pPr>
        <w:pStyle w:val="Heading1"/>
      </w:pPr>
      <w:r>
        <w:t xml:space="preserve">24.12 Expected Benefits</w:t>
      </w:r>
    </w:p>
    <w:p>
      <w:pPr>
        <w:pStyle w:val="FirstParagraph"/>
      </w:pPr>
      <w:r>
        <w:t xml:space="preserve">The National Sustainability, Innovation and Future Evolution Framework is expected to contribute to:</w:t>
      </w:r>
    </w:p>
    <w:p>
      <w:pPr>
        <w:pStyle w:val="Compact"/>
        <w:numPr>
          <w:ilvl w:val="0"/>
          <w:numId w:val="1007"/>
        </w:numPr>
      </w:pPr>
      <w:r>
        <w:t xml:space="preserve">Long-term programme continuity.</w:t>
      </w:r>
    </w:p>
    <w:p>
      <w:pPr>
        <w:pStyle w:val="Compact"/>
        <w:numPr>
          <w:ilvl w:val="0"/>
          <w:numId w:val="1007"/>
        </w:numPr>
      </w:pPr>
      <w:r>
        <w:t xml:space="preserve">Protection of public investments.</w:t>
      </w:r>
    </w:p>
    <w:p>
      <w:pPr>
        <w:pStyle w:val="Compact"/>
        <w:numPr>
          <w:ilvl w:val="0"/>
          <w:numId w:val="1007"/>
        </w:numPr>
      </w:pPr>
      <w:r>
        <w:t xml:space="preserve">Increased institutional self-reliance.</w:t>
      </w:r>
    </w:p>
    <w:p>
      <w:pPr>
        <w:pStyle w:val="Compact"/>
        <w:numPr>
          <w:ilvl w:val="0"/>
          <w:numId w:val="1007"/>
        </w:numPr>
      </w:pPr>
      <w:r>
        <w:t xml:space="preserve">Stronger national technical capacity.</w:t>
      </w:r>
    </w:p>
    <w:p>
      <w:pPr>
        <w:pStyle w:val="Compact"/>
        <w:numPr>
          <w:ilvl w:val="0"/>
          <w:numId w:val="1007"/>
        </w:numPr>
      </w:pPr>
      <w:r>
        <w:t xml:space="preserve">Continuous modernization.</w:t>
      </w:r>
    </w:p>
    <w:p>
      <w:pPr>
        <w:pStyle w:val="Compact"/>
        <w:numPr>
          <w:ilvl w:val="0"/>
          <w:numId w:val="1007"/>
        </w:numPr>
      </w:pPr>
      <w:r>
        <w:t xml:space="preserve">Greater adaptability to future education priorities.</w:t>
      </w:r>
    </w:p>
    <w:p>
      <w:pPr>
        <w:pStyle w:val="Compact"/>
        <w:numPr>
          <w:ilvl w:val="0"/>
          <w:numId w:val="1007"/>
        </w:numPr>
      </w:pPr>
      <w:r>
        <w:t xml:space="preserve">Sustainable digital transformation.</w:t>
      </w:r>
    </w:p>
    <w:p>
      <w:pPr>
        <w:pStyle w:val="FirstParagraph"/>
      </w:pPr>
      <w:r>
        <w:t xml:space="preserve">These outcomes depend on sustained leadership, effective governance, ongoing investment in people and technology, and continuous institutional learning.</w:t>
      </w:r>
    </w:p>
    <w:p>
      <w:r>
        <w:pict>
          <v:rect style="width:0;height:1.5pt" o:hralign="center" o:hrstd="t" o:hr="t"/>
        </w:pict>
      </w:r>
    </w:p>
    <w:bookmarkEnd w:id="44"/>
    <w:bookmarkStart w:id="45" w:name="chapter-summary"/>
    <w:p>
      <w:pPr>
        <w:pStyle w:val="Heading1"/>
      </w:pPr>
      <w:r>
        <w:t xml:space="preserve">24.13 Chapter Summary</w:t>
      </w:r>
    </w:p>
    <w:p>
      <w:pPr>
        <w:pStyle w:val="FirstParagraph"/>
      </w:pPr>
      <w:r>
        <w:t xml:space="preserve">EduOS Cameroon is designed to evolve alongside Cameroon’s education system.</w:t>
      </w:r>
    </w:p>
    <w:p>
      <w:pPr>
        <w:pStyle w:val="BodyText"/>
      </w:pPr>
      <w:r>
        <w:t xml:space="preserve">By combining institutional sustainability, modular technology, continuous innovation, local capacity development, and structured platform evolution, the framework establishes a durable foundation capable of supporting future education reforms and digital public services.</w:t>
      </w:r>
    </w:p>
    <w:p>
      <w:pPr>
        <w:pStyle w:val="BodyText"/>
      </w:pPr>
      <w:r>
        <w:t xml:space="preserve">The platform is intended not only to solve today’s operational challenges but also to provide the flexibility required to respond to tomorrow’s opportunities.</w:t>
      </w:r>
    </w:p>
    <w:p>
      <w:r>
        <w:pict>
          <v:rect style="width:0;height:1.5pt" o:hralign="center" o:hrstd="t" o:hr="t"/>
        </w:pict>
      </w:r>
    </w:p>
    <w:bookmarkEnd w:id="45"/>
    <w:bookmarkStart w:id="46" w:name="concluding-perspective"/>
    <w:p>
      <w:pPr>
        <w:pStyle w:val="Heading1"/>
      </w:pPr>
      <w:r>
        <w:t xml:space="preserve">24.14 Concluding Perspective</w:t>
      </w:r>
    </w:p>
    <w:p>
      <w:pPr>
        <w:pStyle w:val="FirstParagraph"/>
      </w:pPr>
      <w:r>
        <w:t xml:space="preserve">EduOS Cameroon represents a shift from isolated education applications toward an integrated National Education Digital Public Infrastructure.</w:t>
      </w:r>
    </w:p>
    <w:p>
      <w:pPr>
        <w:pStyle w:val="BodyText"/>
      </w:pPr>
      <w:r>
        <w:t xml:space="preserve">Through interoperable services, offline-first architecture, Digital Textbook Passports, National Education Asset Passports, executive intelligence, operational coordination, responsible artificial intelligence, and strong governance, the programme provides a comprehensive framework for modernizing the management of educational resources and strengthening evidence-based decision-making.</w:t>
      </w:r>
    </w:p>
    <w:p>
      <w:pPr>
        <w:pStyle w:val="BodyText"/>
      </w:pPr>
      <w:r>
        <w:t xml:space="preserve">Its success will ultimately depend not only on technology, but also on collaboration, institutional commitment, continuous learning, and a shared vision for improving education outcomes across Cameroon.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2026-07-10T14:23:36Z</dcterms:created>
  <dcterms:modified xsi:type="dcterms:W3CDTF">2026-07-10T14:23:36Z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