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3"/>
    <w:p>
      <w:pPr>
        <w:pStyle w:val="Heading1"/>
      </w:pPr>
      <w:r>
        <w:t xml:space="preserve">CHAPTER 3</w:t>
      </w:r>
    </w:p>
    <w:bookmarkEnd w:id="20"/>
    <w:bookmarkStart w:id="22" w:name="national-textbook-supply-chain-analysis"/>
    <w:p>
      <w:pPr>
        <w:pStyle w:val="Heading1"/>
      </w:pPr>
      <w:r>
        <w:t xml:space="preserve">NATIONAL TEXTBOOK SUPPLY CHAIN ANALYSIS</w:t>
      </w:r>
    </w:p>
    <w:bookmarkStart w:id="21" w:name="introduction"/>
    <w:p>
      <w:pPr>
        <w:pStyle w:val="Heading2"/>
      </w:pPr>
      <w:r>
        <w:t xml:space="preserve">3.1 Introduction</w:t>
      </w:r>
    </w:p>
    <w:p>
      <w:pPr>
        <w:pStyle w:val="FirstParagraph"/>
      </w:pPr>
      <w:r>
        <w:t xml:space="preserve">The textbook supply chain is one of the largest and most complex operational systems within Cameroon’s education sector.</w:t>
      </w:r>
    </w:p>
    <w:p>
      <w:pPr>
        <w:pStyle w:val="BodyText"/>
      </w:pPr>
      <w:r>
        <w:t xml:space="preserve">Every academic year, millions of textbooks must move through multiple organizations before reaching learners in thousands of public primary schools across the country.</w:t>
      </w:r>
    </w:p>
    <w:p>
      <w:pPr>
        <w:pStyle w:val="BodyText"/>
      </w:pPr>
      <w:r>
        <w:t xml:space="preserve">The effectiveness of this supply chain directly influences classroom learning, public expenditure efficiency, and education quality.</w:t>
      </w:r>
    </w:p>
    <w:p>
      <w:pPr>
        <w:pStyle w:val="BodyText"/>
      </w:pPr>
      <w:r>
        <w:t xml:space="preserve">Although major reforms have improved procurement, affordability, and textbook availability, further opportunities exist to strengthen operational visibility, coordination, and lifecycle management through digital transformation.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bjectives-of-the-supply-chain"/>
    <w:p>
      <w:pPr>
        <w:pStyle w:val="Heading1"/>
      </w:pPr>
      <w:r>
        <w:t xml:space="preserve">3.2 Objectives of the Supply Chain</w:t>
      </w:r>
    </w:p>
    <w:p>
      <w:pPr>
        <w:pStyle w:val="FirstParagraph"/>
      </w:pPr>
      <w:r>
        <w:t xml:space="preserve">The national textbook supply chain seeks to ensure that:</w:t>
      </w:r>
    </w:p>
    <w:p>
      <w:pPr>
        <w:pStyle w:val="Compact"/>
        <w:numPr>
          <w:ilvl w:val="0"/>
          <w:numId w:val="1001"/>
        </w:numPr>
      </w:pPr>
      <w:r>
        <w:t xml:space="preserve">Every approved textbook is available before the academic year begins.</w:t>
      </w:r>
    </w:p>
    <w:p>
      <w:pPr>
        <w:pStyle w:val="Compact"/>
        <w:numPr>
          <w:ilvl w:val="0"/>
          <w:numId w:val="1001"/>
        </w:numPr>
      </w:pPr>
      <w:r>
        <w:t xml:space="preserve">Every eligible school receives its allocation.</w:t>
      </w:r>
    </w:p>
    <w:p>
      <w:pPr>
        <w:pStyle w:val="Compact"/>
        <w:numPr>
          <w:ilvl w:val="0"/>
          <w:numId w:val="1001"/>
        </w:numPr>
      </w:pPr>
      <w:r>
        <w:t xml:space="preserve">Distribution is transparent and accountable.</w:t>
      </w:r>
    </w:p>
    <w:p>
      <w:pPr>
        <w:pStyle w:val="Compact"/>
        <w:numPr>
          <w:ilvl w:val="0"/>
          <w:numId w:val="1001"/>
        </w:numPr>
      </w:pPr>
      <w:r>
        <w:t xml:space="preserve">Inventory losses are minimized.</w:t>
      </w:r>
    </w:p>
    <w:p>
      <w:pPr>
        <w:pStyle w:val="Compact"/>
        <w:numPr>
          <w:ilvl w:val="0"/>
          <w:numId w:val="1001"/>
        </w:numPr>
      </w:pPr>
      <w:r>
        <w:t xml:space="preserve">Public investments are protected.</w:t>
      </w:r>
    </w:p>
    <w:p>
      <w:pPr>
        <w:pStyle w:val="Compact"/>
        <w:numPr>
          <w:ilvl w:val="0"/>
          <w:numId w:val="1001"/>
        </w:numPr>
      </w:pPr>
      <w:r>
        <w:t xml:space="preserve">Learners have equitable access to learning materials.</w:t>
      </w:r>
    </w:p>
    <w:p>
      <w:pPr>
        <w:pStyle w:val="Compact"/>
        <w:numPr>
          <w:ilvl w:val="0"/>
          <w:numId w:val="1001"/>
        </w:numPr>
      </w:pPr>
      <w:r>
        <w:t xml:space="preserve">Planning improves from one academic year to the next.</w:t>
      </w:r>
    </w:p>
    <w:p>
      <w:r>
        <w:pict>
          <v:rect style="width:0;height:1.5pt" o:hralign="center" o:hrstd="t" o:hr="t"/>
        </w:pict>
      </w:r>
    </w:p>
    <w:bookmarkEnd w:id="23"/>
    <w:bookmarkStart w:id="24" w:name="current-supply-chain"/>
    <w:p>
      <w:pPr>
        <w:pStyle w:val="Heading1"/>
      </w:pPr>
      <w:r>
        <w:t xml:space="preserve">3.3 Current Supply Chain</w:t>
      </w:r>
    </w:p>
    <w:p>
      <w:pPr>
        <w:pStyle w:val="FirstParagraph"/>
      </w:pPr>
      <w:r>
        <w:t xml:space="preserve">The current operational chain can be summarized as follows:</w:t>
      </w:r>
    </w:p>
    <w:p>
      <w:pPr>
        <w:pStyle w:val="SourceCode"/>
      </w:pPr>
      <w:r>
        <w:rPr>
          <w:rStyle w:val="VerbatimChar"/>
        </w:rPr>
        <w:t xml:space="preserve">Curriculum &amp; Textbook Approval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National Planning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Budget Allocation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Procurement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Publishers / Printing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National Warehouses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Distribution Contractors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Regional Deliveries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Schools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Classrooms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Learners</w:t>
      </w:r>
    </w:p>
    <w:p>
      <w:pPr>
        <w:pStyle w:val="FirstParagraph"/>
      </w:pPr>
      <w:r>
        <w:t xml:space="preserve">This structure provides a strong operational foundation but involves numerous handover points where timely visibility and verification become increasingly important.</w:t>
      </w:r>
    </w:p>
    <w:p>
      <w:r>
        <w:pict>
          <v:rect style="width:0;height:1.5pt" o:hralign="center" o:hrstd="t" o:hr="t"/>
        </w:pict>
      </w:r>
    </w:p>
    <w:bookmarkEnd w:id="24"/>
    <w:bookmarkStart w:id="30" w:name="supply-chain-actors"/>
    <w:p>
      <w:pPr>
        <w:pStyle w:val="Heading1"/>
      </w:pPr>
      <w:r>
        <w:t xml:space="preserve">3.4 Supply Chain Actors</w:t>
      </w:r>
    </w:p>
    <w:p>
      <w:pPr>
        <w:pStyle w:val="FirstParagraph"/>
      </w:pPr>
      <w:r>
        <w:t xml:space="preserve">The textbook ecosystem involves a broad range of stakeholders.</w:t>
      </w:r>
    </w:p>
    <w:bookmarkStart w:id="25" w:name="national-level"/>
    <w:p>
      <w:pPr>
        <w:pStyle w:val="Heading2"/>
      </w:pPr>
      <w:r>
        <w:t xml:space="preserve">National Level</w:t>
      </w:r>
    </w:p>
    <w:p>
      <w:pPr>
        <w:pStyle w:val="Compact"/>
        <w:numPr>
          <w:ilvl w:val="0"/>
          <w:numId w:val="1002"/>
        </w:numPr>
      </w:pPr>
      <w:r>
        <w:t xml:space="preserve">Ministry of Basic Education (MINEDUB).</w:t>
      </w:r>
    </w:p>
    <w:p>
      <w:pPr>
        <w:pStyle w:val="Compact"/>
        <w:numPr>
          <w:ilvl w:val="0"/>
          <w:numId w:val="1002"/>
        </w:numPr>
      </w:pPr>
      <w:r>
        <w:t xml:space="preserve">PAREC Programme Coordination Unit.</w:t>
      </w:r>
    </w:p>
    <w:p>
      <w:pPr>
        <w:pStyle w:val="Compact"/>
        <w:numPr>
          <w:ilvl w:val="0"/>
          <w:numId w:val="1002"/>
        </w:numPr>
      </w:pPr>
      <w:r>
        <w:t xml:space="preserve">National textbook approval bodies.</w:t>
      </w:r>
    </w:p>
    <w:p>
      <w:pPr>
        <w:pStyle w:val="Compact"/>
        <w:numPr>
          <w:ilvl w:val="0"/>
          <w:numId w:val="1002"/>
        </w:numPr>
      </w:pPr>
      <w:r>
        <w:t xml:space="preserve">Procurement committees.</w:t>
      </w:r>
    </w:p>
    <w:p>
      <w:pPr>
        <w:pStyle w:val="Compact"/>
        <w:numPr>
          <w:ilvl w:val="0"/>
          <w:numId w:val="1002"/>
        </w:numPr>
      </w:pPr>
      <w:r>
        <w:t xml:space="preserve">Ministry of Finance (budget execution).</w:t>
      </w:r>
    </w:p>
    <w:p>
      <w:pPr>
        <w:pStyle w:val="Compact"/>
        <w:numPr>
          <w:ilvl w:val="0"/>
          <w:numId w:val="1002"/>
        </w:numPr>
      </w:pPr>
      <w:r>
        <w:t xml:space="preserve">Technical committees.</w:t>
      </w:r>
    </w:p>
    <w:p>
      <w:r>
        <w:pict>
          <v:rect style="width:0;height:1.5pt" o:hralign="center" o:hrstd="t" o:hr="t"/>
        </w:pict>
      </w:r>
    </w:p>
    <w:bookmarkEnd w:id="25"/>
    <w:bookmarkStart w:id="26" w:name="production-level"/>
    <w:p>
      <w:pPr>
        <w:pStyle w:val="Heading2"/>
      </w:pPr>
      <w:r>
        <w:t xml:space="preserve">Production Level</w:t>
      </w:r>
    </w:p>
    <w:p>
      <w:pPr>
        <w:pStyle w:val="Compact"/>
        <w:numPr>
          <w:ilvl w:val="0"/>
          <w:numId w:val="1003"/>
        </w:numPr>
      </w:pPr>
      <w:r>
        <w:t xml:space="preserve">Publishers.</w:t>
      </w:r>
    </w:p>
    <w:p>
      <w:pPr>
        <w:pStyle w:val="Compact"/>
        <w:numPr>
          <w:ilvl w:val="0"/>
          <w:numId w:val="1003"/>
        </w:numPr>
      </w:pPr>
      <w:r>
        <w:t xml:space="preserve">Printers.</w:t>
      </w:r>
    </w:p>
    <w:p>
      <w:pPr>
        <w:pStyle w:val="Compact"/>
        <w:numPr>
          <w:ilvl w:val="0"/>
          <w:numId w:val="1003"/>
        </w:numPr>
      </w:pPr>
      <w:r>
        <w:t xml:space="preserve">Quality assurance teams.</w:t>
      </w:r>
    </w:p>
    <w:p>
      <w:r>
        <w:pict>
          <v:rect style="width:0;height:1.5pt" o:hralign="center" o:hrstd="t" o:hr="t"/>
        </w:pict>
      </w:r>
    </w:p>
    <w:bookmarkEnd w:id="26"/>
    <w:bookmarkStart w:id="27" w:name="distribution-level"/>
    <w:p>
      <w:pPr>
        <w:pStyle w:val="Heading2"/>
      </w:pPr>
      <w:r>
        <w:t xml:space="preserve">Distribution Level</w:t>
      </w:r>
    </w:p>
    <w:p>
      <w:pPr>
        <w:pStyle w:val="Compact"/>
        <w:numPr>
          <w:ilvl w:val="0"/>
          <w:numId w:val="1004"/>
        </w:numPr>
      </w:pPr>
      <w:r>
        <w:t xml:space="preserve">Logistics contractors.</w:t>
      </w:r>
    </w:p>
    <w:p>
      <w:pPr>
        <w:pStyle w:val="Compact"/>
        <w:numPr>
          <w:ilvl w:val="0"/>
          <w:numId w:val="1004"/>
        </w:numPr>
      </w:pPr>
      <w:r>
        <w:t xml:space="preserve">Warehouse operators.</w:t>
      </w:r>
    </w:p>
    <w:p>
      <w:pPr>
        <w:pStyle w:val="Compact"/>
        <w:numPr>
          <w:ilvl w:val="0"/>
          <w:numId w:val="1004"/>
        </w:numPr>
      </w:pPr>
      <w:r>
        <w:t xml:space="preserve">Transport providers.</w:t>
      </w:r>
    </w:p>
    <w:p>
      <w:r>
        <w:pict>
          <v:rect style="width:0;height:1.5pt" o:hralign="center" o:hrstd="t" o:hr="t"/>
        </w:pict>
      </w:r>
    </w:p>
    <w:bookmarkEnd w:id="27"/>
    <w:bookmarkStart w:id="28" w:name="regional-level"/>
    <w:p>
      <w:pPr>
        <w:pStyle w:val="Heading2"/>
      </w:pPr>
      <w:r>
        <w:t xml:space="preserve">Regional Level</w:t>
      </w:r>
    </w:p>
    <w:p>
      <w:pPr>
        <w:pStyle w:val="Compact"/>
        <w:numPr>
          <w:ilvl w:val="0"/>
          <w:numId w:val="1005"/>
        </w:numPr>
      </w:pPr>
      <w:r>
        <w:t xml:space="preserve">Regional Delegations.</w:t>
      </w:r>
    </w:p>
    <w:p>
      <w:pPr>
        <w:pStyle w:val="Compact"/>
        <w:numPr>
          <w:ilvl w:val="0"/>
          <w:numId w:val="1005"/>
        </w:numPr>
      </w:pPr>
      <w:r>
        <w:t xml:space="preserve">Divisional education authorities.</w:t>
      </w:r>
    </w:p>
    <w:p>
      <w:pPr>
        <w:pStyle w:val="Compact"/>
        <w:numPr>
          <w:ilvl w:val="0"/>
          <w:numId w:val="1005"/>
        </w:numPr>
      </w:pPr>
      <w:r>
        <w:t xml:space="preserve">Inspectors.</w:t>
      </w:r>
    </w:p>
    <w:p>
      <w:r>
        <w:pict>
          <v:rect style="width:0;height:1.5pt" o:hralign="center" o:hrstd="t" o:hr="t"/>
        </w:pict>
      </w:r>
    </w:p>
    <w:bookmarkEnd w:id="28"/>
    <w:bookmarkStart w:id="29" w:name="school-level"/>
    <w:p>
      <w:pPr>
        <w:pStyle w:val="Heading2"/>
      </w:pPr>
      <w:r>
        <w:t xml:space="preserve">School Level</w:t>
      </w:r>
    </w:p>
    <w:p>
      <w:pPr>
        <w:pStyle w:val="Compact"/>
        <w:numPr>
          <w:ilvl w:val="0"/>
          <w:numId w:val="1006"/>
        </w:numPr>
      </w:pPr>
      <w:r>
        <w:t xml:space="preserve">Headteachers.</w:t>
      </w:r>
    </w:p>
    <w:p>
      <w:pPr>
        <w:pStyle w:val="Compact"/>
        <w:numPr>
          <w:ilvl w:val="0"/>
          <w:numId w:val="1006"/>
        </w:numPr>
      </w:pPr>
      <w:r>
        <w:t xml:space="preserve">Storekeepers (where designated).</w:t>
      </w:r>
    </w:p>
    <w:p>
      <w:pPr>
        <w:pStyle w:val="Compact"/>
        <w:numPr>
          <w:ilvl w:val="0"/>
          <w:numId w:val="1006"/>
        </w:numPr>
      </w:pPr>
      <w:r>
        <w:t xml:space="preserve">Teachers.</w:t>
      </w:r>
    </w:p>
    <w:p>
      <w:pPr>
        <w:pStyle w:val="Compact"/>
        <w:numPr>
          <w:ilvl w:val="0"/>
          <w:numId w:val="1006"/>
        </w:numPr>
      </w:pPr>
      <w:r>
        <w:t xml:space="preserve">School management committees.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trengths-of-the-current-system"/>
    <w:p>
      <w:pPr>
        <w:pStyle w:val="Heading1"/>
      </w:pPr>
      <w:r>
        <w:t xml:space="preserve">3.5 Strengths of the Current System</w:t>
      </w:r>
    </w:p>
    <w:p>
      <w:pPr>
        <w:pStyle w:val="FirstParagraph"/>
      </w:pPr>
      <w:r>
        <w:t xml:space="preserve">Recent reforms have significantly strengthened the textbook ecosystem.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7"/>
        </w:numPr>
      </w:pPr>
      <w:r>
        <w:t xml:space="preserve">A National Textbook Policy.</w:t>
      </w:r>
    </w:p>
    <w:p>
      <w:pPr>
        <w:pStyle w:val="Compact"/>
        <w:numPr>
          <w:ilvl w:val="0"/>
          <w:numId w:val="1007"/>
        </w:numPr>
      </w:pPr>
      <w:r>
        <w:t xml:space="preserve">Greater transparency in textbook selection.</w:t>
      </w:r>
    </w:p>
    <w:p>
      <w:pPr>
        <w:pStyle w:val="Compact"/>
        <w:numPr>
          <w:ilvl w:val="0"/>
          <w:numId w:val="1007"/>
        </w:numPr>
      </w:pPr>
      <w:r>
        <w:t xml:space="preserve">Standardization through a single approved textbook per subject in primary education.</w:t>
      </w:r>
    </w:p>
    <w:p>
      <w:pPr>
        <w:pStyle w:val="Compact"/>
        <w:numPr>
          <w:ilvl w:val="0"/>
          <w:numId w:val="1007"/>
        </w:numPr>
      </w:pPr>
      <w:r>
        <w:t xml:space="preserve">Multi-year textbook lifespan requirements.</w:t>
      </w:r>
    </w:p>
    <w:p>
      <w:pPr>
        <w:pStyle w:val="Compact"/>
        <w:numPr>
          <w:ilvl w:val="0"/>
          <w:numId w:val="1007"/>
        </w:numPr>
      </w:pPr>
      <w:r>
        <w:t xml:space="preserve">Increased public financing.</w:t>
      </w:r>
    </w:p>
    <w:p>
      <w:pPr>
        <w:pStyle w:val="Compact"/>
        <w:numPr>
          <w:ilvl w:val="0"/>
          <w:numId w:val="1007"/>
        </w:numPr>
      </w:pPr>
      <w:r>
        <w:t xml:space="preserve">Improved affordability.</w:t>
      </w:r>
    </w:p>
    <w:p>
      <w:pPr>
        <w:pStyle w:val="Compact"/>
        <w:numPr>
          <w:ilvl w:val="0"/>
          <w:numId w:val="1007"/>
        </w:numPr>
      </w:pPr>
      <w:r>
        <w:t xml:space="preserve">Wider textbook availability.</w:t>
      </w:r>
    </w:p>
    <w:p>
      <w:pPr>
        <w:pStyle w:val="FirstParagraph"/>
      </w:pPr>
      <w:r>
        <w:t xml:space="preserve">These reforms provide a strong platform for operational modernization.</w:t>
      </w:r>
    </w:p>
    <w:p>
      <w:r>
        <w:pict>
          <v:rect style="width:0;height:1.5pt" o:hralign="center" o:hrstd="t" o:hr="t"/>
        </w:pict>
      </w:r>
    </w:p>
    <w:bookmarkEnd w:id="31"/>
    <w:bookmarkStart w:id="37" w:name="operational-gaps"/>
    <w:p>
      <w:pPr>
        <w:pStyle w:val="Heading1"/>
      </w:pPr>
      <w:r>
        <w:t xml:space="preserve">3.6 Operational Gaps</w:t>
      </w:r>
    </w:p>
    <w:p>
      <w:pPr>
        <w:pStyle w:val="FirstParagraph"/>
      </w:pPr>
      <w:r>
        <w:t xml:space="preserve">Despite policy improvements, operational challenges remain.</w:t>
      </w:r>
    </w:p>
    <w:bookmarkStart w:id="32" w:name="gap-1-limited-end-to-end-traceability"/>
    <w:p>
      <w:pPr>
        <w:pStyle w:val="Heading2"/>
      </w:pPr>
      <w:r>
        <w:t xml:space="preserve">Gap 1 – Limited End-to-End Traceability</w:t>
      </w:r>
    </w:p>
    <w:p>
      <w:pPr>
        <w:pStyle w:val="FirstParagraph"/>
      </w:pPr>
      <w:r>
        <w:t xml:space="preserve">Once textbooks leave warehouses, continuous visibility throughout their journey to individual schools and learners may be limited.</w:t>
      </w:r>
    </w:p>
    <w:p>
      <w:pPr>
        <w:pStyle w:val="BodyText"/>
      </w:pPr>
      <w:r>
        <w:t xml:space="preserve">Typical questions include:</w:t>
      </w:r>
    </w:p>
    <w:p>
      <w:pPr>
        <w:pStyle w:val="Compact"/>
        <w:numPr>
          <w:ilvl w:val="0"/>
          <w:numId w:val="1008"/>
        </w:numPr>
      </w:pPr>
      <w:r>
        <w:t xml:space="preserve">Which shipment is currently in transit?</w:t>
      </w:r>
    </w:p>
    <w:p>
      <w:pPr>
        <w:pStyle w:val="Compact"/>
        <w:numPr>
          <w:ilvl w:val="0"/>
          <w:numId w:val="1008"/>
        </w:numPr>
      </w:pPr>
      <w:r>
        <w:t xml:space="preserve">Has the school confirmed receipt?</w:t>
      </w:r>
    </w:p>
    <w:p>
      <w:pPr>
        <w:pStyle w:val="Compact"/>
        <w:numPr>
          <w:ilvl w:val="0"/>
          <w:numId w:val="1008"/>
        </w:numPr>
      </w:pPr>
      <w:r>
        <w:t xml:space="preserve">Were all cartons delivered?</w:t>
      </w:r>
    </w:p>
    <w:p>
      <w:pPr>
        <w:pStyle w:val="Compact"/>
        <w:numPr>
          <w:ilvl w:val="0"/>
          <w:numId w:val="1008"/>
        </w:numPr>
      </w:pPr>
      <w:r>
        <w:t xml:space="preserve">Were shortages reported?</w:t>
      </w:r>
    </w:p>
    <w:p>
      <w:r>
        <w:pict>
          <v:rect style="width:0;height:1.5pt" o:hralign="center" o:hrstd="t" o:hr="t"/>
        </w:pict>
      </w:r>
    </w:p>
    <w:bookmarkEnd w:id="32"/>
    <w:bookmarkStart w:id="33" w:name="gap-2-paper-based-verification"/>
    <w:p>
      <w:pPr>
        <w:pStyle w:val="Heading2"/>
      </w:pPr>
      <w:r>
        <w:t xml:space="preserve">Gap 2 – Paper-Based Verification</w:t>
      </w:r>
    </w:p>
    <w:p>
      <w:pPr>
        <w:pStyle w:val="FirstParagraph"/>
      </w:pPr>
      <w:r>
        <w:t xml:space="preserve">Many delivery confirmations and inventory processes still depend on paper documentation, increasing administrative effort and delaying consolidation of operational information.</w:t>
      </w:r>
    </w:p>
    <w:p>
      <w:r>
        <w:pict>
          <v:rect style="width:0;height:1.5pt" o:hralign="center" o:hrstd="t" o:hr="t"/>
        </w:pict>
      </w:r>
    </w:p>
    <w:bookmarkEnd w:id="33"/>
    <w:bookmarkStart w:id="34" w:name="gap-3-inventory-visibility"/>
    <w:p>
      <w:pPr>
        <w:pStyle w:val="Heading2"/>
      </w:pPr>
      <w:r>
        <w:t xml:space="preserve">Gap 3 – Inventory Visibility</w:t>
      </w:r>
    </w:p>
    <w:p>
      <w:pPr>
        <w:pStyle w:val="FirstParagraph"/>
      </w:pPr>
      <w:r>
        <w:t xml:space="preserve">School inventories are not always visible nationally in real time.</w:t>
      </w:r>
    </w:p>
    <w:p>
      <w:pPr>
        <w:pStyle w:val="BodyText"/>
      </w:pPr>
      <w:r>
        <w:t xml:space="preserve">As a result:</w:t>
      </w:r>
    </w:p>
    <w:p>
      <w:pPr>
        <w:pStyle w:val="Compact"/>
        <w:numPr>
          <w:ilvl w:val="0"/>
          <w:numId w:val="1009"/>
        </w:numPr>
      </w:pPr>
      <w:r>
        <w:t xml:space="preserve">Surplus stock may remain unused.</w:t>
      </w:r>
    </w:p>
    <w:p>
      <w:pPr>
        <w:pStyle w:val="Compact"/>
        <w:numPr>
          <w:ilvl w:val="0"/>
          <w:numId w:val="1009"/>
        </w:numPr>
      </w:pPr>
      <w:r>
        <w:t xml:space="preserve">Shortages may only become apparent after reporting cycles.</w:t>
      </w:r>
    </w:p>
    <w:p>
      <w:pPr>
        <w:pStyle w:val="Compact"/>
        <w:numPr>
          <w:ilvl w:val="0"/>
          <w:numId w:val="1009"/>
        </w:numPr>
      </w:pPr>
      <w:r>
        <w:t xml:space="preserve">Redistribution opportunities may be missed.</w:t>
      </w:r>
    </w:p>
    <w:p>
      <w:r>
        <w:pict>
          <v:rect style="width:0;height:1.5pt" o:hralign="center" o:hrstd="t" o:hr="t"/>
        </w:pict>
      </w:r>
    </w:p>
    <w:bookmarkEnd w:id="34"/>
    <w:bookmarkStart w:id="35" w:name="gap-4-lifecycle-monitoring"/>
    <w:p>
      <w:pPr>
        <w:pStyle w:val="Heading2"/>
      </w:pPr>
      <w:r>
        <w:t xml:space="preserve">Gap 4 – Lifecycle Monitoring</w:t>
      </w:r>
    </w:p>
    <w:p>
      <w:pPr>
        <w:pStyle w:val="FirstParagraph"/>
      </w:pPr>
      <w:r>
        <w:t xml:space="preserve">The current operational focus emphasizes acquisition and distribution.</w:t>
      </w:r>
    </w:p>
    <w:p>
      <w:pPr>
        <w:pStyle w:val="BodyText"/>
      </w:pPr>
      <w:r>
        <w:t xml:space="preserve">Less information may be available regarding:</w:t>
      </w:r>
    </w:p>
    <w:p>
      <w:pPr>
        <w:pStyle w:val="Compact"/>
        <w:numPr>
          <w:ilvl w:val="0"/>
          <w:numId w:val="1010"/>
        </w:numPr>
      </w:pPr>
      <w:r>
        <w:t xml:space="preserve">Classroom utilization.</w:t>
      </w:r>
    </w:p>
    <w:p>
      <w:pPr>
        <w:pStyle w:val="Compact"/>
        <w:numPr>
          <w:ilvl w:val="0"/>
          <w:numId w:val="1010"/>
        </w:numPr>
      </w:pPr>
      <w:r>
        <w:t xml:space="preserve">Physical condition.</w:t>
      </w:r>
    </w:p>
    <w:p>
      <w:pPr>
        <w:pStyle w:val="Compact"/>
        <w:numPr>
          <w:ilvl w:val="0"/>
          <w:numId w:val="1010"/>
        </w:numPr>
      </w:pPr>
      <w:r>
        <w:t xml:space="preserve">Repairs.</w:t>
      </w:r>
    </w:p>
    <w:p>
      <w:pPr>
        <w:pStyle w:val="Compact"/>
        <w:numPr>
          <w:ilvl w:val="0"/>
          <w:numId w:val="1010"/>
        </w:numPr>
      </w:pPr>
      <w:r>
        <w:t xml:space="preserve">Replacement planning.</w:t>
      </w:r>
    </w:p>
    <w:p>
      <w:pPr>
        <w:pStyle w:val="Compact"/>
        <w:numPr>
          <w:ilvl w:val="0"/>
          <w:numId w:val="1010"/>
        </w:numPr>
      </w:pPr>
      <w:r>
        <w:t xml:space="preserve">End-of-life management.</w:t>
      </w:r>
    </w:p>
    <w:p>
      <w:r>
        <w:pict>
          <v:rect style="width:0;height:1.5pt" o:hralign="center" o:hrstd="t" o:hr="t"/>
        </w:pict>
      </w:r>
    </w:p>
    <w:bookmarkEnd w:id="35"/>
    <w:bookmarkStart w:id="36" w:name="gap-5-data-fragmentation"/>
    <w:p>
      <w:pPr>
        <w:pStyle w:val="Heading2"/>
      </w:pPr>
      <w:r>
        <w:t xml:space="preserve">Gap 5 – Data Fragmentation</w:t>
      </w:r>
    </w:p>
    <w:p>
      <w:pPr>
        <w:pStyle w:val="FirstParagraph"/>
      </w:pPr>
      <w:r>
        <w:t xml:space="preserve">Operational information may be generated by multiple organizations using different processes, creating challenges for timely consolidation and analysis.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uture-digital-supply-chain"/>
    <w:p>
      <w:pPr>
        <w:pStyle w:val="Heading1"/>
      </w:pPr>
      <w:r>
        <w:t xml:space="preserve">3.7 Future Digital Supply Chain</w:t>
      </w:r>
    </w:p>
    <w:p>
      <w:pPr>
        <w:pStyle w:val="FirstParagraph"/>
      </w:pPr>
      <w:r>
        <w:t xml:space="preserve">EduOS Cameroon proposes an integrated digital supply chain.</w:t>
      </w:r>
    </w:p>
    <w:p>
      <w:pPr>
        <w:pStyle w:val="SourceCode"/>
      </w:pPr>
      <w:r>
        <w:rPr>
          <w:rStyle w:val="VerbatimChar"/>
        </w:rPr>
        <w:t xml:space="preserve">Planning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Procurement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Publisher Portal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Warehouse Management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Distribution Tracking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School Receipt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Inventory Management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Classroom Allocation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Student Assignment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Returns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Replacement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Analytics</w:t>
      </w:r>
    </w:p>
    <w:p>
      <w:pPr>
        <w:pStyle w:val="FirstParagraph"/>
      </w:pPr>
      <w:r>
        <w:t xml:space="preserve">Each stage generates structured operational data to support planning, monitoring, and accountability.</w:t>
      </w:r>
    </w:p>
    <w:p>
      <w:r>
        <w:pict>
          <v:rect style="width:0;height:1.5pt" o:hralign="center" o:hrstd="t" o:hr="t"/>
        </w:pict>
      </w:r>
    </w:p>
    <w:bookmarkEnd w:id="38"/>
    <w:bookmarkStart w:id="39" w:name="digital-transformation-opportunities"/>
    <w:p>
      <w:pPr>
        <w:pStyle w:val="Heading1"/>
      </w:pPr>
      <w:r>
        <w:t xml:space="preserve">3.8 Digital Transformation Opportunities</w:t>
      </w:r>
    </w:p>
    <w:p>
      <w:pPr>
        <w:pStyle w:val="FirstParagraph"/>
      </w:pPr>
      <w:r>
        <w:t xml:space="preserve">EduOS Cameroon introduces capabilities such as:</w:t>
      </w:r>
    </w:p>
    <w:p>
      <w:pPr>
        <w:pStyle w:val="Compact"/>
        <w:numPr>
          <w:ilvl w:val="0"/>
          <w:numId w:val="1011"/>
        </w:numPr>
      </w:pPr>
      <w:r>
        <w:t xml:space="preserve">Barcode and QR code tracking.</w:t>
      </w:r>
    </w:p>
    <w:p>
      <w:pPr>
        <w:pStyle w:val="Compact"/>
        <w:numPr>
          <w:ilvl w:val="0"/>
          <w:numId w:val="1011"/>
        </w:numPr>
      </w:pPr>
      <w:r>
        <w:t xml:space="preserve">Digital proof of delivery.</w:t>
      </w:r>
    </w:p>
    <w:p>
      <w:pPr>
        <w:pStyle w:val="Compact"/>
        <w:numPr>
          <w:ilvl w:val="0"/>
          <w:numId w:val="1011"/>
        </w:numPr>
      </w:pPr>
      <w:r>
        <w:t xml:space="preserve">Electronic inventory registers.</w:t>
      </w:r>
    </w:p>
    <w:p>
      <w:pPr>
        <w:pStyle w:val="Compact"/>
        <w:numPr>
          <w:ilvl w:val="0"/>
          <w:numId w:val="1011"/>
        </w:numPr>
      </w:pPr>
      <w:r>
        <w:t xml:space="preserve">Real-time dashboards.</w:t>
      </w:r>
    </w:p>
    <w:p>
      <w:pPr>
        <w:pStyle w:val="Compact"/>
        <w:numPr>
          <w:ilvl w:val="0"/>
          <w:numId w:val="1011"/>
        </w:numPr>
      </w:pPr>
      <w:r>
        <w:t xml:space="preserve">Offline data capture.</w:t>
      </w:r>
    </w:p>
    <w:p>
      <w:pPr>
        <w:pStyle w:val="Compact"/>
        <w:numPr>
          <w:ilvl w:val="0"/>
          <w:numId w:val="1011"/>
        </w:numPr>
      </w:pPr>
      <w:r>
        <w:t xml:space="preserve">Automated reporting.</w:t>
      </w:r>
    </w:p>
    <w:p>
      <w:pPr>
        <w:pStyle w:val="Compact"/>
        <w:numPr>
          <w:ilvl w:val="0"/>
          <w:numId w:val="1011"/>
        </w:numPr>
      </w:pPr>
      <w:r>
        <w:t xml:space="preserve">Inventory reconciliation.</w:t>
      </w:r>
    </w:p>
    <w:p>
      <w:pPr>
        <w:pStyle w:val="Compact"/>
        <w:numPr>
          <w:ilvl w:val="0"/>
          <w:numId w:val="1011"/>
        </w:numPr>
      </w:pPr>
      <w:r>
        <w:t xml:space="preserve">Exception alerts.</w:t>
      </w:r>
    </w:p>
    <w:p>
      <w:pPr>
        <w:pStyle w:val="Compact"/>
        <w:numPr>
          <w:ilvl w:val="0"/>
          <w:numId w:val="1011"/>
        </w:numPr>
      </w:pPr>
      <w:r>
        <w:t xml:space="preserve">Predictive demand forecasting.</w:t>
      </w:r>
    </w:p>
    <w:p>
      <w:pPr>
        <w:pStyle w:val="Compact"/>
        <w:numPr>
          <w:ilvl w:val="0"/>
          <w:numId w:val="1011"/>
        </w:numPr>
      </w:pPr>
      <w:r>
        <w:t xml:space="preserve">AI-assisted redistribution recommendations.</w:t>
      </w:r>
    </w:p>
    <w:p>
      <w:pPr>
        <w:pStyle w:val="FirstParagraph"/>
      </w:pPr>
      <w:r>
        <w:t xml:space="preserve">These capabilities complement existing reforms by improving operational execution rather than replacing institutional responsibilities.</w:t>
      </w:r>
    </w:p>
    <w:p>
      <w:r>
        <w:pict>
          <v:rect style="width:0;height:1.5pt" o:hralign="center" o:hrstd="t" o:hr="t"/>
        </w:pict>
      </w:r>
    </w:p>
    <w:bookmarkEnd w:id="39"/>
    <w:bookmarkStart w:id="40" w:name="expected-benefits"/>
    <w:p>
      <w:pPr>
        <w:pStyle w:val="Heading1"/>
      </w:pPr>
      <w:r>
        <w:t xml:space="preserve">3.9 Expected Benefits</w:t>
      </w:r>
    </w:p>
    <w:p>
      <w:pPr>
        <w:pStyle w:val="FirstParagraph"/>
      </w:pPr>
      <w:r>
        <w:t xml:space="preserve">The proposed approach is expected to contribute to:</w:t>
      </w:r>
    </w:p>
    <w:p>
      <w:pPr>
        <w:pStyle w:val="Compact"/>
        <w:numPr>
          <w:ilvl w:val="0"/>
          <w:numId w:val="1012"/>
        </w:numPr>
      </w:pPr>
      <w:r>
        <w:t xml:space="preserve">Faster operational reporting.</w:t>
      </w:r>
    </w:p>
    <w:p>
      <w:pPr>
        <w:pStyle w:val="Compact"/>
        <w:numPr>
          <w:ilvl w:val="0"/>
          <w:numId w:val="1012"/>
        </w:numPr>
      </w:pPr>
      <w:r>
        <w:t xml:space="preserve">Better inventory visibility.</w:t>
      </w:r>
    </w:p>
    <w:p>
      <w:pPr>
        <w:pStyle w:val="Compact"/>
        <w:numPr>
          <w:ilvl w:val="0"/>
          <w:numId w:val="1012"/>
        </w:numPr>
      </w:pPr>
      <w:r>
        <w:t xml:space="preserve">Improved redistribution planning.</w:t>
      </w:r>
    </w:p>
    <w:p>
      <w:pPr>
        <w:pStyle w:val="Compact"/>
        <w:numPr>
          <w:ilvl w:val="0"/>
          <w:numId w:val="1012"/>
        </w:numPr>
      </w:pPr>
      <w:r>
        <w:t xml:space="preserve">Enhanced transparency.</w:t>
      </w:r>
    </w:p>
    <w:p>
      <w:pPr>
        <w:pStyle w:val="Compact"/>
        <w:numPr>
          <w:ilvl w:val="0"/>
          <w:numId w:val="1012"/>
        </w:numPr>
      </w:pPr>
      <w:r>
        <w:t xml:space="preserve">Reduced administrative workload.</w:t>
      </w:r>
    </w:p>
    <w:p>
      <w:pPr>
        <w:pStyle w:val="Compact"/>
        <w:numPr>
          <w:ilvl w:val="0"/>
          <w:numId w:val="1012"/>
        </w:numPr>
      </w:pPr>
      <w:r>
        <w:t xml:space="preserve">Stronger audit readiness.</w:t>
      </w:r>
    </w:p>
    <w:p>
      <w:pPr>
        <w:pStyle w:val="Compact"/>
        <w:numPr>
          <w:ilvl w:val="0"/>
          <w:numId w:val="1012"/>
        </w:numPr>
      </w:pPr>
      <w:r>
        <w:t xml:space="preserve">Better evidence for decision-making.</w:t>
      </w:r>
    </w:p>
    <w:p>
      <w:pPr>
        <w:pStyle w:val="FirstParagraph"/>
      </w:pPr>
      <w:r>
        <w:t xml:space="preserve">The extent of these benefits will depend on effective implementation, user adoption, and sustained governance.</w:t>
      </w:r>
    </w:p>
    <w:p>
      <w:r>
        <w:pict>
          <v:rect style="width:0;height:1.5pt" o:hralign="center" o:hrstd="t" o:hr="t"/>
        </w:pict>
      </w:r>
    </w:p>
    <w:bookmarkEnd w:id="40"/>
    <w:bookmarkStart w:id="41" w:name="chapter-summary"/>
    <w:p>
      <w:pPr>
        <w:pStyle w:val="Heading1"/>
      </w:pPr>
      <w:r>
        <w:t xml:space="preserve">3.10 Chapter Summary</w:t>
      </w:r>
    </w:p>
    <w:p>
      <w:pPr>
        <w:pStyle w:val="FirstParagraph"/>
      </w:pPr>
      <w:r>
        <w:t xml:space="preserve">Cameroon’s textbook reforms have established a stronger policy and procurement environment.</w:t>
      </w:r>
    </w:p>
    <w:p>
      <w:pPr>
        <w:pStyle w:val="BodyText"/>
      </w:pPr>
      <w:r>
        <w:t xml:space="preserve">The next stage of modernization is to digitally strengthen the operational supply chain by improving visibility, coordination, lifecycle management, and analytics.</w:t>
      </w:r>
    </w:p>
    <w:p>
      <w:pPr>
        <w:pStyle w:val="BodyText"/>
      </w:pPr>
      <w:r>
        <w:t xml:space="preserve">EduOS Cameroon provides the technological foundation for this transition while building upon existing institutional reforms and operational practices.</w:t>
      </w:r>
    </w:p>
    <w:p>
      <w:pPr>
        <w:pStyle w:val="BodyText"/>
      </w:pPr>
      <w:r>
        <w:t xml:space="preserve">The next chapter examines the procurement ecosystem in greater depth, identifying opportunities to enhance planning, contract management, supplier performance monitoring, and procurement transparency through integrated digital systems.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2026-07-10T14:14:25Z</dcterms:created>
  <dcterms:modified xsi:type="dcterms:W3CDTF">2026-07-10T14:14:25Z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