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0"/>
    <w:p>
      <w:pPr>
        <w:pStyle w:val="Heading1"/>
      </w:pPr>
      <w:r>
        <w:t xml:space="preserve">CHAPTER 10</w:t>
      </w:r>
    </w:p>
    <w:bookmarkEnd w:id="20"/>
    <w:bookmarkStart w:id="22" w:name="system-architecture-and-technical-design"/>
    <w:p>
      <w:pPr>
        <w:pStyle w:val="Heading1"/>
      </w:pPr>
      <w:r>
        <w:t xml:space="preserve">SYSTEM ARCHITECTURE AND TECHNICAL DESIGN</w:t>
      </w:r>
    </w:p>
    <w:bookmarkStart w:id="21" w:name="introduction"/>
    <w:p>
      <w:pPr>
        <w:pStyle w:val="Heading2"/>
      </w:pPr>
      <w:r>
        <w:t xml:space="preserve">10.1 Introduction</w:t>
      </w:r>
    </w:p>
    <w:p>
      <w:pPr>
        <w:pStyle w:val="FirstParagraph"/>
      </w:pPr>
      <w:r>
        <w:t xml:space="preserve">The National Digital Textbook Lifecycle &amp; Learning Resource Management System (NDTLRMS) is designed as a secure, scalable, interoperable, and offline-first digital platform capable of supporting educational resource management across all administrative levels of the Ministry of Secondary Education.</w:t>
      </w:r>
    </w:p>
    <w:p>
      <w:pPr>
        <w:pStyle w:val="BodyText"/>
      </w:pPr>
      <w:r>
        <w:t xml:space="preserve">The architecture recognizes the operational realities of Cameroon, where schools operate under varying levels of connectivity, electrical infrastructure, technical capacity, and logistical constraints.</w:t>
      </w:r>
    </w:p>
    <w:p>
      <w:pPr>
        <w:pStyle w:val="BodyText"/>
      </w:pPr>
      <w:r>
        <w:t xml:space="preserve">Rather than requiring continuous internet connectivity, the platform is designed to function effectively in both connected and disconnected environments while maintaining data integrity, operational continuity, and centralized reporting.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rchitectural-principles"/>
    <w:p>
      <w:pPr>
        <w:pStyle w:val="Heading1"/>
      </w:pPr>
      <w:r>
        <w:t xml:space="preserve">10.2 Architectural Principles</w:t>
      </w:r>
    </w:p>
    <w:p>
      <w:pPr>
        <w:pStyle w:val="FirstParagraph"/>
      </w:pPr>
      <w:r>
        <w:t xml:space="preserve">The architecture is based on the following principles:</w:t>
      </w:r>
    </w:p>
    <w:p>
      <w:pPr>
        <w:pStyle w:val="Compact"/>
        <w:numPr>
          <w:ilvl w:val="0"/>
          <w:numId w:val="1001"/>
        </w:numPr>
      </w:pPr>
      <w:r>
        <w:t xml:space="preserve">Offline-first operation</w:t>
      </w:r>
    </w:p>
    <w:p>
      <w:pPr>
        <w:pStyle w:val="Compact"/>
        <w:numPr>
          <w:ilvl w:val="0"/>
          <w:numId w:val="1001"/>
        </w:numPr>
      </w:pPr>
      <w:r>
        <w:t xml:space="preserve">Security by design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High availability</w:t>
      </w:r>
    </w:p>
    <w:p>
      <w:pPr>
        <w:pStyle w:val="Compact"/>
        <w:numPr>
          <w:ilvl w:val="0"/>
          <w:numId w:val="1001"/>
        </w:numPr>
      </w:pPr>
      <w:r>
        <w:t xml:space="preserve">Interoperability</w:t>
      </w:r>
    </w:p>
    <w:p>
      <w:pPr>
        <w:pStyle w:val="Compact"/>
        <w:numPr>
          <w:ilvl w:val="0"/>
          <w:numId w:val="1001"/>
        </w:numPr>
      </w:pPr>
      <w:r>
        <w:t xml:space="preserve">Modular architecture</w:t>
      </w:r>
    </w:p>
    <w:p>
      <w:pPr>
        <w:pStyle w:val="Compact"/>
        <w:numPr>
          <w:ilvl w:val="0"/>
          <w:numId w:val="1001"/>
        </w:numPr>
      </w:pPr>
      <w:r>
        <w:t xml:space="preserve">Open standards</w:t>
      </w:r>
    </w:p>
    <w:p>
      <w:pPr>
        <w:pStyle w:val="Compact"/>
        <w:numPr>
          <w:ilvl w:val="0"/>
          <w:numId w:val="1001"/>
        </w:numPr>
      </w:pPr>
      <w:r>
        <w:t xml:space="preserve">Low-bandwidth optimization</w:t>
      </w:r>
    </w:p>
    <w:p>
      <w:pPr>
        <w:pStyle w:val="Compact"/>
        <w:numPr>
          <w:ilvl w:val="0"/>
          <w:numId w:val="1001"/>
        </w:numPr>
      </w:pPr>
      <w:r>
        <w:t xml:space="preserve">Data integrity</w:t>
      </w:r>
    </w:p>
    <w:p>
      <w:pPr>
        <w:pStyle w:val="Compact"/>
        <w:numPr>
          <w:ilvl w:val="0"/>
          <w:numId w:val="1001"/>
        </w:numPr>
      </w:pPr>
      <w:r>
        <w:t xml:space="preserve">User-centered design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r>
        <w:pict>
          <v:rect style="width:0;height:1.5pt" o:hralign="center" o:hrstd="t" o:hr="t"/>
        </w:pict>
      </w:r>
    </w:p>
    <w:bookmarkEnd w:id="23"/>
    <w:bookmarkStart w:id="24" w:name="national-platform-architecture"/>
    <w:p>
      <w:pPr>
        <w:pStyle w:val="Heading1"/>
      </w:pPr>
      <w:r>
        <w:t xml:space="preserve">10.3 National Platform Architecture</w:t>
      </w:r>
    </w:p>
    <w:p>
      <w:pPr>
        <w:pStyle w:val="SourceCode"/>
      </w:pPr>
      <w:r>
        <w:rPr>
          <w:rStyle w:val="VerbatimChar"/>
        </w:rPr>
        <w:t xml:space="preserve">                    MINESEC Headquarters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┌───────────────────┴───────────────────┐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│</w:t>
      </w:r>
      <w:r>
        <w:br/>
      </w:r>
      <w:r>
        <w:rPr>
          <w:rStyle w:val="VerbatimChar"/>
        </w:rPr>
        <w:t xml:space="preserve"> National Analytics                    Administration Portal</w:t>
      </w:r>
      <w:r>
        <w:br/>
      </w:r>
      <w:r>
        <w:rPr>
          <w:rStyle w:val="VerbatimChar"/>
        </w:rPr>
        <w:t xml:space="preserve">        │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National API Gateway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Regional Delegations   Divisional Offices   Mobile Services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Secondary Schools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Offline School Management Node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Teachers • Storekeepers • Librarians</w:t>
      </w:r>
    </w:p>
    <w:p>
      <w:r>
        <w:pict>
          <v:rect style="width:0;height:1.5pt" o:hralign="center" o:hrstd="t" o:hr="t"/>
        </w:pict>
      </w:r>
    </w:p>
    <w:bookmarkEnd w:id="24"/>
    <w:bookmarkStart w:id="29" w:name="core-system-components"/>
    <w:p>
      <w:pPr>
        <w:pStyle w:val="Heading1"/>
      </w:pPr>
      <w:r>
        <w:t xml:space="preserve">10.4 Core System Components</w:t>
      </w:r>
    </w:p>
    <w:bookmarkStart w:id="25" w:name="national-platform"/>
    <w:p>
      <w:pPr>
        <w:pStyle w:val="Heading2"/>
      </w:pPr>
      <w:r>
        <w:t xml:space="preserve">National Platform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2"/>
        </w:numPr>
      </w:pPr>
      <w:r>
        <w:t xml:space="preserve">National reporting</w:t>
      </w:r>
    </w:p>
    <w:p>
      <w:pPr>
        <w:pStyle w:val="Compact"/>
        <w:numPr>
          <w:ilvl w:val="0"/>
          <w:numId w:val="1002"/>
        </w:numPr>
      </w:pPr>
      <w:r>
        <w:t xml:space="preserve">Policy administration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Configuration</w:t>
      </w:r>
    </w:p>
    <w:p>
      <w:pPr>
        <w:pStyle w:val="Compact"/>
        <w:numPr>
          <w:ilvl w:val="0"/>
          <w:numId w:val="1002"/>
        </w:numPr>
      </w:pPr>
      <w:r>
        <w:t xml:space="preserve">Master data management</w:t>
      </w:r>
    </w:p>
    <w:p>
      <w:pPr>
        <w:pStyle w:val="Compact"/>
        <w:numPr>
          <w:ilvl w:val="0"/>
          <w:numId w:val="1002"/>
        </w:numPr>
      </w:pPr>
      <w:r>
        <w:t xml:space="preserve">Monitoring</w:t>
      </w:r>
    </w:p>
    <w:p>
      <w:pPr>
        <w:pStyle w:val="Compact"/>
        <w:numPr>
          <w:ilvl w:val="0"/>
          <w:numId w:val="1002"/>
        </w:numPr>
      </w:pPr>
      <w:r>
        <w:t xml:space="preserve">Security administration</w:t>
      </w:r>
    </w:p>
    <w:p>
      <w:r>
        <w:pict>
          <v:rect style="width:0;height:1.5pt" o:hralign="center" o:hrstd="t" o:hr="t"/>
        </w:pict>
      </w:r>
    </w:p>
    <w:bookmarkEnd w:id="25"/>
    <w:bookmarkStart w:id="26" w:name="regional-platform"/>
    <w:p>
      <w:pPr>
        <w:pStyle w:val="Heading2"/>
      </w:pPr>
      <w:r>
        <w:t xml:space="preserve">Regional Platform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Regional monitoring</w:t>
      </w:r>
    </w:p>
    <w:p>
      <w:pPr>
        <w:pStyle w:val="Compact"/>
        <w:numPr>
          <w:ilvl w:val="0"/>
          <w:numId w:val="1003"/>
        </w:numPr>
      </w:pPr>
      <w:r>
        <w:t xml:space="preserve">Distribution coordination</w:t>
      </w:r>
    </w:p>
    <w:p>
      <w:pPr>
        <w:pStyle w:val="Compact"/>
        <w:numPr>
          <w:ilvl w:val="0"/>
          <w:numId w:val="1003"/>
        </w:numPr>
      </w:pPr>
      <w:r>
        <w:t xml:space="preserve">Regional inventory</w:t>
      </w:r>
    </w:p>
    <w:p>
      <w:pPr>
        <w:pStyle w:val="Compact"/>
        <w:numPr>
          <w:ilvl w:val="0"/>
          <w:numId w:val="1003"/>
        </w:numPr>
      </w:pPr>
      <w:r>
        <w:t xml:space="preserve">Inspection management</w:t>
      </w:r>
    </w:p>
    <w:p>
      <w:pPr>
        <w:pStyle w:val="Compact"/>
        <w:numPr>
          <w:ilvl w:val="0"/>
          <w:numId w:val="1003"/>
        </w:numPr>
      </w:pPr>
      <w:r>
        <w:t xml:space="preserve">Technical support</w:t>
      </w:r>
    </w:p>
    <w:p>
      <w:r>
        <w:pict>
          <v:rect style="width:0;height:1.5pt" o:hralign="center" o:hrstd="t" o:hr="t"/>
        </w:pict>
      </w:r>
    </w:p>
    <w:bookmarkEnd w:id="26"/>
    <w:bookmarkStart w:id="27" w:name="divisional-platform"/>
    <w:p>
      <w:pPr>
        <w:pStyle w:val="Heading2"/>
      </w:pPr>
      <w:r>
        <w:t xml:space="preserve">Divisional Platform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School supervision</w:t>
      </w:r>
    </w:p>
    <w:p>
      <w:pPr>
        <w:pStyle w:val="Compact"/>
        <w:numPr>
          <w:ilvl w:val="0"/>
          <w:numId w:val="1004"/>
        </w:numPr>
      </w:pPr>
      <w:r>
        <w:t xml:space="preserve">Distribution oversight</w:t>
      </w:r>
    </w:p>
    <w:p>
      <w:pPr>
        <w:pStyle w:val="Compact"/>
        <w:numPr>
          <w:ilvl w:val="0"/>
          <w:numId w:val="1004"/>
        </w:numPr>
      </w:pPr>
      <w:r>
        <w:t xml:space="preserve">School reporting</w:t>
      </w:r>
    </w:p>
    <w:p>
      <w:pPr>
        <w:pStyle w:val="Compact"/>
        <w:numPr>
          <w:ilvl w:val="0"/>
          <w:numId w:val="1004"/>
        </w:numPr>
      </w:pPr>
      <w:r>
        <w:t xml:space="preserve">Incident management</w:t>
      </w:r>
    </w:p>
    <w:p>
      <w:r>
        <w:pict>
          <v:rect style="width:0;height:1.5pt" o:hralign="center" o:hrstd="t" o:hr="t"/>
        </w:pict>
      </w:r>
    </w:p>
    <w:bookmarkEnd w:id="27"/>
    <w:bookmarkStart w:id="28" w:name="school-platform"/>
    <w:p>
      <w:pPr>
        <w:pStyle w:val="Heading2"/>
      </w:pPr>
      <w:r>
        <w:t xml:space="preserve">School Platform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Inventory</w:t>
      </w:r>
    </w:p>
    <w:p>
      <w:pPr>
        <w:pStyle w:val="Compact"/>
        <w:numPr>
          <w:ilvl w:val="0"/>
          <w:numId w:val="1005"/>
        </w:numPr>
      </w:pPr>
      <w:r>
        <w:t xml:space="preserve">Distribution</w:t>
      </w:r>
    </w:p>
    <w:p>
      <w:pPr>
        <w:pStyle w:val="Compact"/>
        <w:numPr>
          <w:ilvl w:val="0"/>
          <w:numId w:val="1005"/>
        </w:numPr>
      </w:pPr>
      <w:r>
        <w:t xml:space="preserve">Student allocation</w:t>
      </w:r>
    </w:p>
    <w:p>
      <w:pPr>
        <w:pStyle w:val="Compact"/>
        <w:numPr>
          <w:ilvl w:val="0"/>
          <w:numId w:val="1005"/>
        </w:numPr>
      </w:pPr>
      <w:r>
        <w:t xml:space="preserve">Returns</w:t>
      </w:r>
    </w:p>
    <w:p>
      <w:pPr>
        <w:pStyle w:val="Compact"/>
        <w:numPr>
          <w:ilvl w:val="0"/>
          <w:numId w:val="1005"/>
        </w:numPr>
      </w:pPr>
      <w:r>
        <w:t xml:space="preserve">Reporting</w:t>
      </w:r>
    </w:p>
    <w:p>
      <w:pPr>
        <w:pStyle w:val="Compact"/>
        <w:numPr>
          <w:ilvl w:val="0"/>
          <w:numId w:val="1005"/>
        </w:numPr>
      </w:pPr>
      <w:r>
        <w:t xml:space="preserve">Local synchronization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unctional-modules"/>
    <w:p>
      <w:pPr>
        <w:pStyle w:val="Heading1"/>
      </w:pPr>
      <w:r>
        <w:t xml:space="preserve">10.5 Functional Modules</w:t>
      </w:r>
    </w:p>
    <w:p>
      <w:pPr>
        <w:pStyle w:val="FirstParagraph"/>
      </w:pPr>
      <w:r>
        <w:t xml:space="preserve">The platform consists of independent but integrated modules.</w:t>
      </w:r>
    </w:p>
    <w:bookmarkStart w:id="30" w:name="core-modules"/>
    <w:p>
      <w:pPr>
        <w:pStyle w:val="Heading3"/>
      </w:pPr>
      <w:r>
        <w:t xml:space="preserve">Core Modules</w:t>
      </w:r>
    </w:p>
    <w:p>
      <w:pPr>
        <w:pStyle w:val="Compact"/>
        <w:numPr>
          <w:ilvl w:val="0"/>
          <w:numId w:val="1006"/>
        </w:numPr>
      </w:pPr>
      <w:r>
        <w:t xml:space="preserve">School Registry</w:t>
      </w:r>
    </w:p>
    <w:p>
      <w:pPr>
        <w:pStyle w:val="Compact"/>
        <w:numPr>
          <w:ilvl w:val="0"/>
          <w:numId w:val="1006"/>
        </w:numPr>
      </w:pPr>
      <w:r>
        <w:t xml:space="preserve">Student Registry</w:t>
      </w:r>
    </w:p>
    <w:p>
      <w:pPr>
        <w:pStyle w:val="Compact"/>
        <w:numPr>
          <w:ilvl w:val="0"/>
          <w:numId w:val="1006"/>
        </w:numPr>
      </w:pPr>
      <w:r>
        <w:t xml:space="preserve">Teacher Registry</w:t>
      </w:r>
    </w:p>
    <w:p>
      <w:pPr>
        <w:pStyle w:val="Compact"/>
        <w:numPr>
          <w:ilvl w:val="0"/>
          <w:numId w:val="1006"/>
        </w:numPr>
      </w:pPr>
      <w:r>
        <w:t xml:space="preserve">Learning Resource Registry</w:t>
      </w:r>
    </w:p>
    <w:p>
      <w:pPr>
        <w:pStyle w:val="Compact"/>
        <w:numPr>
          <w:ilvl w:val="0"/>
          <w:numId w:val="1006"/>
        </w:numPr>
      </w:pPr>
      <w:r>
        <w:t xml:space="preserve">Warehouse Management</w:t>
      </w:r>
    </w:p>
    <w:p>
      <w:pPr>
        <w:pStyle w:val="Compact"/>
        <w:numPr>
          <w:ilvl w:val="0"/>
          <w:numId w:val="1006"/>
        </w:numPr>
      </w:pPr>
      <w:r>
        <w:t xml:space="preserve">Distribution Management</w:t>
      </w:r>
    </w:p>
    <w:p>
      <w:pPr>
        <w:pStyle w:val="Compact"/>
        <w:numPr>
          <w:ilvl w:val="0"/>
          <w:numId w:val="1006"/>
        </w:numPr>
      </w:pPr>
      <w:r>
        <w:t xml:space="preserve">Inventory Management</w:t>
      </w:r>
    </w:p>
    <w:p>
      <w:pPr>
        <w:pStyle w:val="Compact"/>
        <w:numPr>
          <w:ilvl w:val="0"/>
          <w:numId w:val="1006"/>
        </w:numPr>
      </w:pPr>
      <w:r>
        <w:t xml:space="preserve">QR/Barcode Management</w:t>
      </w:r>
    </w:p>
    <w:p>
      <w:pPr>
        <w:pStyle w:val="Compact"/>
        <w:numPr>
          <w:ilvl w:val="0"/>
          <w:numId w:val="1006"/>
        </w:numPr>
      </w:pPr>
      <w:r>
        <w:t xml:space="preserve">Inspection Management</w:t>
      </w:r>
    </w:p>
    <w:p>
      <w:pPr>
        <w:pStyle w:val="Compact"/>
        <w:numPr>
          <w:ilvl w:val="0"/>
          <w:numId w:val="1006"/>
        </w:numPr>
      </w:pPr>
      <w:r>
        <w:t xml:space="preserve">Reporting Engine</w:t>
      </w:r>
    </w:p>
    <w:p>
      <w:pPr>
        <w:pStyle w:val="Compact"/>
        <w:numPr>
          <w:ilvl w:val="0"/>
          <w:numId w:val="1006"/>
        </w:numPr>
      </w:pPr>
      <w:r>
        <w:t xml:space="preserve">Analytics Engine</w:t>
      </w:r>
    </w:p>
    <w:p>
      <w:pPr>
        <w:pStyle w:val="Compact"/>
        <w:numPr>
          <w:ilvl w:val="0"/>
          <w:numId w:val="1006"/>
        </w:numPr>
      </w:pPr>
      <w:r>
        <w:t xml:space="preserve">Administration Module</w:t>
      </w:r>
    </w:p>
    <w:p>
      <w:r>
        <w:pict>
          <v:rect style="width:0;height:1.5pt" o:hralign="center" o:hrstd="t" o:hr="t"/>
        </w:pict>
      </w:r>
    </w:p>
    <w:bookmarkEnd w:id="30"/>
    <w:bookmarkStart w:id="31" w:name="supporting-modules"/>
    <w:p>
      <w:pPr>
        <w:pStyle w:val="Heading3"/>
      </w:pPr>
      <w:r>
        <w:t xml:space="preserve">Supporting Modules</w:t>
      </w:r>
    </w:p>
    <w:p>
      <w:pPr>
        <w:pStyle w:val="Compact"/>
        <w:numPr>
          <w:ilvl w:val="0"/>
          <w:numId w:val="1007"/>
        </w:numPr>
      </w:pPr>
      <w:r>
        <w:t xml:space="preserve">Notification Service</w:t>
      </w:r>
    </w:p>
    <w:p>
      <w:pPr>
        <w:pStyle w:val="Compact"/>
        <w:numPr>
          <w:ilvl w:val="0"/>
          <w:numId w:val="1007"/>
        </w:numPr>
      </w:pPr>
      <w:r>
        <w:t xml:space="preserve">Audit Trail</w:t>
      </w:r>
    </w:p>
    <w:p>
      <w:pPr>
        <w:pStyle w:val="Compact"/>
        <w:numPr>
          <w:ilvl w:val="0"/>
          <w:numId w:val="1007"/>
        </w:numPr>
      </w:pPr>
      <w:r>
        <w:t xml:space="preserve">Document Management</w:t>
      </w:r>
    </w:p>
    <w:p>
      <w:pPr>
        <w:pStyle w:val="Compact"/>
        <w:numPr>
          <w:ilvl w:val="0"/>
          <w:numId w:val="1007"/>
        </w:numPr>
      </w:pPr>
      <w:r>
        <w:t xml:space="preserve">Helpdesk</w:t>
      </w:r>
    </w:p>
    <w:p>
      <w:pPr>
        <w:pStyle w:val="Compact"/>
        <w:numPr>
          <w:ilvl w:val="0"/>
          <w:numId w:val="1007"/>
        </w:numPr>
      </w:pPr>
      <w:r>
        <w:t xml:space="preserve">User Management</w:t>
      </w:r>
    </w:p>
    <w:p>
      <w:pPr>
        <w:pStyle w:val="Compact"/>
        <w:numPr>
          <w:ilvl w:val="0"/>
          <w:numId w:val="1007"/>
        </w:numPr>
      </w:pPr>
      <w:r>
        <w:t xml:space="preserve">Role Management</w:t>
      </w:r>
    </w:p>
    <w:p>
      <w:pPr>
        <w:pStyle w:val="Compact"/>
        <w:numPr>
          <w:ilvl w:val="0"/>
          <w:numId w:val="1007"/>
        </w:numPr>
      </w:pPr>
      <w:r>
        <w:t xml:space="preserve">Workflow Engine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user-roles"/>
    <w:p>
      <w:pPr>
        <w:pStyle w:val="Heading1"/>
      </w:pPr>
      <w:r>
        <w:t xml:space="preserve">10.6 User Roles</w:t>
      </w:r>
    </w:p>
    <w:p>
      <w:pPr>
        <w:pStyle w:val="FirstParagraph"/>
      </w:pPr>
      <w:r>
        <w:t xml:space="preserve">The platform supports multiple user categories.</w:t>
      </w:r>
    </w:p>
    <w:bookmarkStart w:id="33" w:name="ministry"/>
    <w:p>
      <w:pPr>
        <w:pStyle w:val="Heading3"/>
      </w:pPr>
      <w:r>
        <w:t xml:space="preserve">Ministry</w:t>
      </w:r>
    </w:p>
    <w:p>
      <w:pPr>
        <w:pStyle w:val="Compact"/>
        <w:numPr>
          <w:ilvl w:val="0"/>
          <w:numId w:val="1008"/>
        </w:numPr>
      </w:pPr>
      <w:r>
        <w:t xml:space="preserve">System Administrator</w:t>
      </w:r>
    </w:p>
    <w:p>
      <w:pPr>
        <w:pStyle w:val="Compact"/>
        <w:numPr>
          <w:ilvl w:val="0"/>
          <w:numId w:val="1008"/>
        </w:numPr>
      </w:pPr>
      <w:r>
        <w:t xml:space="preserve">National Planner</w:t>
      </w:r>
    </w:p>
    <w:p>
      <w:pPr>
        <w:pStyle w:val="Compact"/>
        <w:numPr>
          <w:ilvl w:val="0"/>
          <w:numId w:val="1008"/>
        </w:numPr>
      </w:pPr>
      <w:r>
        <w:t xml:space="preserve">Procurement Officer</w:t>
      </w:r>
    </w:p>
    <w:p>
      <w:pPr>
        <w:pStyle w:val="Compact"/>
        <w:numPr>
          <w:ilvl w:val="0"/>
          <w:numId w:val="1008"/>
        </w:numPr>
      </w:pPr>
      <w:r>
        <w:t xml:space="preserve">Warehouse Manager</w:t>
      </w:r>
    </w:p>
    <w:p>
      <w:pPr>
        <w:pStyle w:val="Compact"/>
        <w:numPr>
          <w:ilvl w:val="0"/>
          <w:numId w:val="1008"/>
        </w:numPr>
      </w:pPr>
      <w:r>
        <w:t xml:space="preserve">Monitoring Officer</w:t>
      </w:r>
    </w:p>
    <w:p>
      <w:r>
        <w:pict>
          <v:rect style="width:0;height:1.5pt" o:hralign="center" o:hrstd="t" o:hr="t"/>
        </w:pict>
      </w:r>
    </w:p>
    <w:bookmarkEnd w:id="33"/>
    <w:bookmarkStart w:id="34" w:name="regional"/>
    <w:p>
      <w:pPr>
        <w:pStyle w:val="Heading3"/>
      </w:pPr>
      <w:r>
        <w:t xml:space="preserve">Regional</w:t>
      </w:r>
    </w:p>
    <w:p>
      <w:pPr>
        <w:pStyle w:val="Compact"/>
        <w:numPr>
          <w:ilvl w:val="0"/>
          <w:numId w:val="1009"/>
        </w:numPr>
      </w:pPr>
      <w:r>
        <w:t xml:space="preserve">Regional Administrator</w:t>
      </w:r>
    </w:p>
    <w:p>
      <w:pPr>
        <w:pStyle w:val="Compact"/>
        <w:numPr>
          <w:ilvl w:val="0"/>
          <w:numId w:val="1009"/>
        </w:numPr>
      </w:pPr>
      <w:r>
        <w:t xml:space="preserve">Regional Warehouse Officer</w:t>
      </w:r>
    </w:p>
    <w:p>
      <w:pPr>
        <w:pStyle w:val="Compact"/>
        <w:numPr>
          <w:ilvl w:val="0"/>
          <w:numId w:val="1009"/>
        </w:numPr>
      </w:pPr>
      <w:r>
        <w:t xml:space="preserve">Regional Inspector</w:t>
      </w:r>
    </w:p>
    <w:p>
      <w:r>
        <w:pict>
          <v:rect style="width:0;height:1.5pt" o:hralign="center" o:hrstd="t" o:hr="t"/>
        </w:pict>
      </w:r>
    </w:p>
    <w:bookmarkEnd w:id="34"/>
    <w:bookmarkStart w:id="35" w:name="divisional"/>
    <w:p>
      <w:pPr>
        <w:pStyle w:val="Heading3"/>
      </w:pPr>
      <w:r>
        <w:t xml:space="preserve">Divisional</w:t>
      </w:r>
    </w:p>
    <w:p>
      <w:pPr>
        <w:pStyle w:val="Compact"/>
        <w:numPr>
          <w:ilvl w:val="0"/>
          <w:numId w:val="1010"/>
        </w:numPr>
      </w:pPr>
      <w:r>
        <w:t xml:space="preserve">Divisional Coordinator</w:t>
      </w:r>
    </w:p>
    <w:p>
      <w:pPr>
        <w:pStyle w:val="Compact"/>
        <w:numPr>
          <w:ilvl w:val="0"/>
          <w:numId w:val="1010"/>
        </w:numPr>
      </w:pPr>
      <w:r>
        <w:t xml:space="preserve">Inspector</w:t>
      </w:r>
    </w:p>
    <w:p>
      <w:pPr>
        <w:pStyle w:val="Compact"/>
        <w:numPr>
          <w:ilvl w:val="0"/>
          <w:numId w:val="1010"/>
        </w:numPr>
      </w:pPr>
      <w:r>
        <w:t xml:space="preserve">Logistics Officer</w:t>
      </w:r>
    </w:p>
    <w:p>
      <w:r>
        <w:pict>
          <v:rect style="width:0;height:1.5pt" o:hralign="center" o:hrstd="t" o:hr="t"/>
        </w:pict>
      </w:r>
    </w:p>
    <w:bookmarkEnd w:id="35"/>
    <w:bookmarkStart w:id="36" w:name="school"/>
    <w:p>
      <w:pPr>
        <w:pStyle w:val="Heading3"/>
      </w:pPr>
      <w:r>
        <w:t xml:space="preserve">School</w:t>
      </w:r>
    </w:p>
    <w:p>
      <w:pPr>
        <w:pStyle w:val="Compact"/>
        <w:numPr>
          <w:ilvl w:val="0"/>
          <w:numId w:val="1011"/>
        </w:numPr>
      </w:pPr>
      <w:r>
        <w:t xml:space="preserve">Principal</w:t>
      </w:r>
    </w:p>
    <w:p>
      <w:pPr>
        <w:pStyle w:val="Compact"/>
        <w:numPr>
          <w:ilvl w:val="0"/>
          <w:numId w:val="1011"/>
        </w:numPr>
      </w:pPr>
      <w:r>
        <w:t xml:space="preserve">Vice Principal</w:t>
      </w:r>
    </w:p>
    <w:p>
      <w:pPr>
        <w:pStyle w:val="Compact"/>
        <w:numPr>
          <w:ilvl w:val="0"/>
          <w:numId w:val="1011"/>
        </w:numPr>
      </w:pPr>
      <w:r>
        <w:t xml:space="preserve">Storekeeper</w:t>
      </w:r>
    </w:p>
    <w:p>
      <w:pPr>
        <w:pStyle w:val="Compact"/>
        <w:numPr>
          <w:ilvl w:val="0"/>
          <w:numId w:val="1011"/>
        </w:numPr>
      </w:pPr>
      <w:r>
        <w:t xml:space="preserve">Librarian</w:t>
      </w:r>
    </w:p>
    <w:p>
      <w:pPr>
        <w:pStyle w:val="Compact"/>
        <w:numPr>
          <w:ilvl w:val="0"/>
          <w:numId w:val="1011"/>
        </w:numPr>
      </w:pPr>
      <w:r>
        <w:t xml:space="preserve">Teacher</w:t>
      </w:r>
    </w:p>
    <w:p>
      <w:r>
        <w:pict>
          <v:rect style="width:0;height:1.5pt" o:hralign="center" o:hrstd="t" o:hr="t"/>
        </w:pict>
      </w:r>
    </w:p>
    <w:bookmarkEnd w:id="36"/>
    <w:bookmarkStart w:id="37" w:name="external"/>
    <w:p>
      <w:pPr>
        <w:pStyle w:val="Heading3"/>
      </w:pPr>
      <w:r>
        <w:t xml:space="preserve">External</w:t>
      </w:r>
    </w:p>
    <w:p>
      <w:pPr>
        <w:pStyle w:val="Compact"/>
        <w:numPr>
          <w:ilvl w:val="0"/>
          <w:numId w:val="1012"/>
        </w:numPr>
      </w:pPr>
      <w:r>
        <w:t xml:space="preserve">Publisher (where authorized)</w:t>
      </w:r>
    </w:p>
    <w:p>
      <w:pPr>
        <w:pStyle w:val="Compact"/>
        <w:numPr>
          <w:ilvl w:val="0"/>
          <w:numId w:val="1012"/>
        </w:numPr>
      </w:pPr>
      <w:r>
        <w:t xml:space="preserve">Printer (where authorized)</w:t>
      </w:r>
    </w:p>
    <w:p>
      <w:pPr>
        <w:pStyle w:val="Compact"/>
        <w:numPr>
          <w:ilvl w:val="0"/>
          <w:numId w:val="1012"/>
        </w:numPr>
      </w:pPr>
      <w:r>
        <w:t xml:space="preserve">Transport Provider (where authorized)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offline-first-architecture"/>
    <w:p>
      <w:pPr>
        <w:pStyle w:val="Heading1"/>
      </w:pPr>
      <w:r>
        <w:t xml:space="preserve">10.7 Offline-First Architecture</w:t>
      </w:r>
    </w:p>
    <w:p>
      <w:pPr>
        <w:pStyle w:val="FirstParagraph"/>
      </w:pPr>
      <w:r>
        <w:t xml:space="preserve">Every school maintains a secure local operational database.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School Device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Local Database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Automatic Synchronization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National Platform</w:t>
      </w:r>
    </w:p>
    <w:p>
      <w:pPr>
        <w:pStyle w:val="FirstParagraph"/>
      </w:pPr>
      <w:r>
        <w:t xml:space="preserve">Key characteristics include:</w:t>
      </w:r>
    </w:p>
    <w:p>
      <w:pPr>
        <w:pStyle w:val="Compact"/>
        <w:numPr>
          <w:ilvl w:val="0"/>
          <w:numId w:val="1013"/>
        </w:numPr>
      </w:pPr>
      <w:r>
        <w:t xml:space="preserve">Continuous local operation</w:t>
      </w:r>
    </w:p>
    <w:p>
      <w:pPr>
        <w:pStyle w:val="Compact"/>
        <w:numPr>
          <w:ilvl w:val="0"/>
          <w:numId w:val="1013"/>
        </w:numPr>
      </w:pPr>
      <w:r>
        <w:t xml:space="preserve">Deferred synchronization</w:t>
      </w:r>
    </w:p>
    <w:p>
      <w:pPr>
        <w:pStyle w:val="Compact"/>
        <w:numPr>
          <w:ilvl w:val="0"/>
          <w:numId w:val="1013"/>
        </w:numPr>
      </w:pPr>
      <w:r>
        <w:t xml:space="preserve">Conflict detection and resolution</w:t>
      </w:r>
    </w:p>
    <w:p>
      <w:pPr>
        <w:pStyle w:val="Compact"/>
        <w:numPr>
          <w:ilvl w:val="0"/>
          <w:numId w:val="1013"/>
        </w:numPr>
      </w:pPr>
      <w:r>
        <w:t xml:space="preserve">Automatic retry</w:t>
      </w:r>
    </w:p>
    <w:p>
      <w:pPr>
        <w:pStyle w:val="Compact"/>
        <w:numPr>
          <w:ilvl w:val="0"/>
          <w:numId w:val="1013"/>
        </w:numPr>
      </w:pPr>
      <w:r>
        <w:t xml:space="preserve">Encrypted synchronization</w:t>
      </w:r>
    </w:p>
    <w:p>
      <w:r>
        <w:pict>
          <v:rect style="width:0;height:1.5pt" o:hralign="center" o:hrstd="t" o:hr="t"/>
        </w:pict>
      </w:r>
    </w:p>
    <w:bookmarkEnd w:id="39"/>
    <w:bookmarkStart w:id="40" w:name="interoperability"/>
    <w:p>
      <w:pPr>
        <w:pStyle w:val="Heading1"/>
      </w:pPr>
      <w:r>
        <w:t xml:space="preserve">10.8 Interoperability</w:t>
      </w:r>
    </w:p>
    <w:p>
      <w:pPr>
        <w:pStyle w:val="FirstParagraph"/>
      </w:pPr>
      <w:r>
        <w:t xml:space="preserve">The platform is designed to exchange information securely with other authorized government systems through documented interfaces.</w:t>
      </w:r>
    </w:p>
    <w:p>
      <w:pPr>
        <w:pStyle w:val="BodyText"/>
      </w:pPr>
      <w:r>
        <w:t xml:space="preserve">Potential integration points include:</w:t>
      </w:r>
    </w:p>
    <w:p>
      <w:pPr>
        <w:pStyle w:val="Compact"/>
        <w:numPr>
          <w:ilvl w:val="0"/>
          <w:numId w:val="1014"/>
        </w:numPr>
      </w:pPr>
      <w:r>
        <w:t xml:space="preserve">School registry systems</w:t>
      </w:r>
    </w:p>
    <w:p>
      <w:pPr>
        <w:pStyle w:val="Compact"/>
        <w:numPr>
          <w:ilvl w:val="0"/>
          <w:numId w:val="1014"/>
        </w:numPr>
      </w:pPr>
      <w:r>
        <w:t xml:space="preserve">Student information systems</w:t>
      </w:r>
    </w:p>
    <w:p>
      <w:pPr>
        <w:pStyle w:val="Compact"/>
        <w:numPr>
          <w:ilvl w:val="0"/>
          <w:numId w:val="1014"/>
        </w:numPr>
      </w:pPr>
      <w:r>
        <w:t xml:space="preserve">Financial management systems</w:t>
      </w:r>
    </w:p>
    <w:p>
      <w:pPr>
        <w:pStyle w:val="Compact"/>
        <w:numPr>
          <w:ilvl w:val="0"/>
          <w:numId w:val="1014"/>
        </w:numPr>
      </w:pPr>
      <w:r>
        <w:t xml:space="preserve">National reporting systems</w:t>
      </w:r>
    </w:p>
    <w:p>
      <w:pPr>
        <w:pStyle w:val="Compact"/>
        <w:numPr>
          <w:ilvl w:val="0"/>
          <w:numId w:val="1014"/>
        </w:numPr>
      </w:pPr>
      <w:r>
        <w:t xml:space="preserve">Identity services (where available)</w:t>
      </w:r>
    </w:p>
    <w:p>
      <w:pPr>
        <w:pStyle w:val="Compact"/>
        <w:numPr>
          <w:ilvl w:val="0"/>
          <w:numId w:val="1014"/>
        </w:numPr>
      </w:pPr>
      <w:r>
        <w:t xml:space="preserve">Geographic information systems</w:t>
      </w:r>
    </w:p>
    <w:p>
      <w:pPr>
        <w:pStyle w:val="FirstParagraph"/>
      </w:pPr>
      <w:r>
        <w:t xml:space="preserve">The exact interfaces would be implemented according to ministry-approved specifications.</w:t>
      </w:r>
    </w:p>
    <w:p>
      <w:r>
        <w:pict>
          <v:rect style="width:0;height:1.5pt" o:hralign="center" o:hrstd="t" o:hr="t"/>
        </w:pict>
      </w:r>
    </w:p>
    <w:bookmarkEnd w:id="40"/>
    <w:bookmarkStart w:id="44" w:name="security-architecture"/>
    <w:p>
      <w:pPr>
        <w:pStyle w:val="Heading1"/>
      </w:pPr>
      <w:r>
        <w:t xml:space="preserve">10.9 Security Architecture</w:t>
      </w:r>
    </w:p>
    <w:p>
      <w:pPr>
        <w:pStyle w:val="FirstParagraph"/>
      </w:pPr>
      <w:r>
        <w:t xml:space="preserve">Security is implemented across multiple layers.</w:t>
      </w:r>
    </w:p>
    <w:bookmarkStart w:id="41" w:name="identity-security"/>
    <w:p>
      <w:pPr>
        <w:pStyle w:val="Heading3"/>
      </w:pPr>
      <w:r>
        <w:t xml:space="preserve">Identity Security</w:t>
      </w:r>
    </w:p>
    <w:p>
      <w:pPr>
        <w:pStyle w:val="Compact"/>
        <w:numPr>
          <w:ilvl w:val="0"/>
          <w:numId w:val="1015"/>
        </w:numPr>
      </w:pPr>
      <w:r>
        <w:t xml:space="preserve">Role-based access control</w:t>
      </w:r>
    </w:p>
    <w:p>
      <w:pPr>
        <w:pStyle w:val="Compact"/>
        <w:numPr>
          <w:ilvl w:val="0"/>
          <w:numId w:val="1015"/>
        </w:numPr>
      </w:pPr>
      <w:r>
        <w:t xml:space="preserve">Strong authentication</w:t>
      </w:r>
    </w:p>
    <w:p>
      <w:pPr>
        <w:pStyle w:val="Compact"/>
        <w:numPr>
          <w:ilvl w:val="0"/>
          <w:numId w:val="1015"/>
        </w:numPr>
      </w:pPr>
      <w:r>
        <w:t xml:space="preserve">Password policies</w:t>
      </w:r>
    </w:p>
    <w:p>
      <w:pPr>
        <w:pStyle w:val="Compact"/>
        <w:numPr>
          <w:ilvl w:val="0"/>
          <w:numId w:val="1015"/>
        </w:numPr>
      </w:pPr>
      <w:r>
        <w:t xml:space="preserve">Session management</w:t>
      </w:r>
    </w:p>
    <w:p>
      <w:r>
        <w:pict>
          <v:rect style="width:0;height:1.5pt" o:hralign="center" o:hrstd="t" o:hr="t"/>
        </w:pict>
      </w:r>
    </w:p>
    <w:bookmarkEnd w:id="41"/>
    <w:bookmarkStart w:id="42" w:name="data-security"/>
    <w:p>
      <w:pPr>
        <w:pStyle w:val="Heading3"/>
      </w:pPr>
      <w:r>
        <w:t xml:space="preserve">Data Security</w:t>
      </w:r>
    </w:p>
    <w:p>
      <w:pPr>
        <w:pStyle w:val="Compact"/>
        <w:numPr>
          <w:ilvl w:val="0"/>
          <w:numId w:val="1016"/>
        </w:numPr>
      </w:pPr>
      <w:r>
        <w:t xml:space="preserve">Encryption in transit</w:t>
      </w:r>
    </w:p>
    <w:p>
      <w:pPr>
        <w:pStyle w:val="Compact"/>
        <w:numPr>
          <w:ilvl w:val="0"/>
          <w:numId w:val="1016"/>
        </w:numPr>
      </w:pPr>
      <w:r>
        <w:t xml:space="preserve">Encryption at rest</w:t>
      </w:r>
    </w:p>
    <w:p>
      <w:pPr>
        <w:pStyle w:val="Compact"/>
        <w:numPr>
          <w:ilvl w:val="0"/>
          <w:numId w:val="1016"/>
        </w:numPr>
      </w:pPr>
      <w:r>
        <w:t xml:space="preserve">Secure backups</w:t>
      </w:r>
    </w:p>
    <w:p>
      <w:pPr>
        <w:pStyle w:val="Compact"/>
        <w:numPr>
          <w:ilvl w:val="0"/>
          <w:numId w:val="1016"/>
        </w:numPr>
      </w:pPr>
      <w:r>
        <w:t xml:space="preserve">Data validation</w:t>
      </w:r>
    </w:p>
    <w:p>
      <w:r>
        <w:pict>
          <v:rect style="width:0;height:1.5pt" o:hralign="center" o:hrstd="t" o:hr="t"/>
        </w:pict>
      </w:r>
    </w:p>
    <w:bookmarkEnd w:id="42"/>
    <w:bookmarkStart w:id="43" w:name="operational-security"/>
    <w:p>
      <w:pPr>
        <w:pStyle w:val="Heading3"/>
      </w:pPr>
      <w:r>
        <w:t xml:space="preserve">Operational Security</w:t>
      </w:r>
    </w:p>
    <w:p>
      <w:pPr>
        <w:pStyle w:val="Compact"/>
        <w:numPr>
          <w:ilvl w:val="0"/>
          <w:numId w:val="1017"/>
        </w:numPr>
      </w:pPr>
      <w:r>
        <w:t xml:space="preserve">Audit logs</w:t>
      </w:r>
    </w:p>
    <w:p>
      <w:pPr>
        <w:pStyle w:val="Compact"/>
        <w:numPr>
          <w:ilvl w:val="0"/>
          <w:numId w:val="1017"/>
        </w:numPr>
      </w:pPr>
      <w:r>
        <w:t xml:space="preserve">Activity monitoring</w:t>
      </w:r>
    </w:p>
    <w:p>
      <w:pPr>
        <w:pStyle w:val="Compact"/>
        <w:numPr>
          <w:ilvl w:val="0"/>
          <w:numId w:val="1017"/>
        </w:numPr>
      </w:pPr>
      <w:r>
        <w:t xml:space="preserve">Change history</w:t>
      </w:r>
    </w:p>
    <w:p>
      <w:pPr>
        <w:pStyle w:val="Compact"/>
        <w:numPr>
          <w:ilvl w:val="0"/>
          <w:numId w:val="1017"/>
        </w:numPr>
      </w:pPr>
      <w:r>
        <w:t xml:space="preserve">Configuration management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high-availability"/>
    <w:p>
      <w:pPr>
        <w:pStyle w:val="Heading1"/>
      </w:pPr>
      <w:r>
        <w:t xml:space="preserve">10.10 High Availability</w:t>
      </w:r>
    </w:p>
    <w:p>
      <w:pPr>
        <w:pStyle w:val="FirstParagraph"/>
      </w:pPr>
      <w:r>
        <w:t xml:space="preserve">The architecture supports:</w:t>
      </w:r>
    </w:p>
    <w:p>
      <w:pPr>
        <w:pStyle w:val="Compact"/>
        <w:numPr>
          <w:ilvl w:val="0"/>
          <w:numId w:val="1018"/>
        </w:numPr>
      </w:pPr>
      <w:r>
        <w:t xml:space="preserve">Scheduled backups</w:t>
      </w:r>
    </w:p>
    <w:p>
      <w:pPr>
        <w:pStyle w:val="Compact"/>
        <w:numPr>
          <w:ilvl w:val="0"/>
          <w:numId w:val="1018"/>
        </w:numPr>
      </w:pPr>
      <w:r>
        <w:t xml:space="preserve">Disaster recovery procedures</w:t>
      </w:r>
    </w:p>
    <w:p>
      <w:pPr>
        <w:pStyle w:val="Compact"/>
        <w:numPr>
          <w:ilvl w:val="0"/>
          <w:numId w:val="1018"/>
        </w:numPr>
      </w:pPr>
      <w:r>
        <w:t xml:space="preserve">Redundant infrastructure (where deployed)</w:t>
      </w:r>
    </w:p>
    <w:p>
      <w:pPr>
        <w:pStyle w:val="Compact"/>
        <w:numPr>
          <w:ilvl w:val="0"/>
          <w:numId w:val="1018"/>
        </w:numPr>
      </w:pPr>
      <w:r>
        <w:t xml:space="preserve">Synchronization resilience</w:t>
      </w:r>
    </w:p>
    <w:p>
      <w:pPr>
        <w:pStyle w:val="Compact"/>
        <w:numPr>
          <w:ilvl w:val="0"/>
          <w:numId w:val="1018"/>
        </w:numPr>
      </w:pPr>
      <w:r>
        <w:t xml:space="preserve">Automatic recovery after connectivity interruptions</w:t>
      </w:r>
    </w:p>
    <w:p>
      <w:r>
        <w:pict>
          <v:rect style="width:0;height:1.5pt" o:hralign="center" o:hrstd="t" o:hr="t"/>
        </w:pict>
      </w:r>
    </w:p>
    <w:bookmarkEnd w:id="45"/>
    <w:bookmarkStart w:id="46" w:name="scalability"/>
    <w:p>
      <w:pPr>
        <w:pStyle w:val="Heading1"/>
      </w:pPr>
      <w:r>
        <w:t xml:space="preserve">10.11 Scalability</w:t>
      </w:r>
    </w:p>
    <w:p>
      <w:pPr>
        <w:pStyle w:val="FirstParagraph"/>
      </w:pPr>
      <w:r>
        <w:t xml:space="preserve">The platform is designed to grow from a pilot deployment to nationwide implementation.</w:t>
      </w:r>
    </w:p>
    <w:p>
      <w:pPr>
        <w:pStyle w:val="BodyText"/>
      </w:pPr>
      <w:r>
        <w:t xml:space="preserve">Future expansion may include:</w:t>
      </w:r>
    </w:p>
    <w:p>
      <w:pPr>
        <w:pStyle w:val="Compact"/>
        <w:numPr>
          <w:ilvl w:val="0"/>
          <w:numId w:val="1019"/>
        </w:numPr>
      </w:pPr>
      <w:r>
        <w:t xml:space="preserve">Library management</w:t>
      </w:r>
    </w:p>
    <w:p>
      <w:pPr>
        <w:pStyle w:val="Compact"/>
        <w:numPr>
          <w:ilvl w:val="0"/>
          <w:numId w:val="1019"/>
        </w:numPr>
      </w:pPr>
      <w:r>
        <w:t xml:space="preserve">Laboratory management</w:t>
      </w:r>
    </w:p>
    <w:p>
      <w:pPr>
        <w:pStyle w:val="Compact"/>
        <w:numPr>
          <w:ilvl w:val="0"/>
          <w:numId w:val="1019"/>
        </w:numPr>
      </w:pPr>
      <w:r>
        <w:t xml:space="preserve">ICT asset management</w:t>
      </w:r>
    </w:p>
    <w:p>
      <w:pPr>
        <w:pStyle w:val="Compact"/>
        <w:numPr>
          <w:ilvl w:val="0"/>
          <w:numId w:val="1019"/>
        </w:numPr>
      </w:pPr>
      <w:r>
        <w:t xml:space="preserve">Furniture management</w:t>
      </w:r>
    </w:p>
    <w:p>
      <w:pPr>
        <w:pStyle w:val="Compact"/>
        <w:numPr>
          <w:ilvl w:val="0"/>
          <w:numId w:val="1019"/>
        </w:numPr>
      </w:pPr>
      <w:r>
        <w:t xml:space="preserve">School infrastructure</w:t>
      </w:r>
    </w:p>
    <w:p>
      <w:pPr>
        <w:pStyle w:val="Compact"/>
        <w:numPr>
          <w:ilvl w:val="0"/>
          <w:numId w:val="1019"/>
        </w:numPr>
      </w:pPr>
      <w:r>
        <w:t xml:space="preserve">Vehicle fleet management</w:t>
      </w:r>
    </w:p>
    <w:p>
      <w:pPr>
        <w:pStyle w:val="Compact"/>
        <w:numPr>
          <w:ilvl w:val="0"/>
          <w:numId w:val="1019"/>
        </w:numPr>
      </w:pPr>
      <w:r>
        <w:t xml:space="preserve">Sports equipment</w:t>
      </w:r>
    </w:p>
    <w:p>
      <w:pPr>
        <w:pStyle w:val="Compact"/>
        <w:numPr>
          <w:ilvl w:val="0"/>
          <w:numId w:val="1019"/>
        </w:numPr>
      </w:pPr>
      <w:r>
        <w:t xml:space="preserve">Science equipment</w:t>
      </w:r>
    </w:p>
    <w:p>
      <w:pPr>
        <w:pStyle w:val="FirstParagraph"/>
      </w:pPr>
      <w:r>
        <w:t xml:space="preserve">without changing the core architecture.</w:t>
      </w:r>
    </w:p>
    <w:p>
      <w:r>
        <w:pict>
          <v:rect style="width:0;height:1.5pt" o:hralign="center" o:hrstd="t" o:hr="t"/>
        </w:pict>
      </w:r>
    </w:p>
    <w:bookmarkEnd w:id="46"/>
    <w:bookmarkStart w:id="47" w:name="expected-outcomes"/>
    <w:p>
      <w:pPr>
        <w:pStyle w:val="Heading1"/>
      </w:pPr>
      <w:r>
        <w:t xml:space="preserve">10.12 Expected Outcomes</w:t>
      </w:r>
    </w:p>
    <w:p>
      <w:pPr>
        <w:pStyle w:val="FirstParagraph"/>
      </w:pPr>
      <w:r>
        <w:t xml:space="preserve">The proposed architecture will provide:</w:t>
      </w:r>
    </w:p>
    <w:p>
      <w:pPr>
        <w:pStyle w:val="Compact"/>
        <w:numPr>
          <w:ilvl w:val="0"/>
          <w:numId w:val="1020"/>
        </w:numPr>
      </w:pPr>
      <w:r>
        <w:t xml:space="preserve">Reliable nationwide operation.</w:t>
      </w:r>
    </w:p>
    <w:p>
      <w:pPr>
        <w:pStyle w:val="Compact"/>
        <w:numPr>
          <w:ilvl w:val="0"/>
          <w:numId w:val="1020"/>
        </w:numPr>
      </w:pPr>
      <w:r>
        <w:t xml:space="preserve">Support for low-connectivity environments.</w:t>
      </w:r>
    </w:p>
    <w:p>
      <w:pPr>
        <w:pStyle w:val="Compact"/>
        <w:numPr>
          <w:ilvl w:val="0"/>
          <w:numId w:val="1020"/>
        </w:numPr>
      </w:pPr>
      <w:r>
        <w:t xml:space="preserve">Secure information management.</w:t>
      </w:r>
    </w:p>
    <w:p>
      <w:pPr>
        <w:pStyle w:val="Compact"/>
        <w:numPr>
          <w:ilvl w:val="0"/>
          <w:numId w:val="1020"/>
        </w:numPr>
      </w:pPr>
      <w:r>
        <w:t xml:space="preserve">Efficient synchronization.</w:t>
      </w:r>
    </w:p>
    <w:p>
      <w:pPr>
        <w:pStyle w:val="Compact"/>
        <w:numPr>
          <w:ilvl w:val="0"/>
          <w:numId w:val="1020"/>
        </w:numPr>
      </w:pPr>
      <w:r>
        <w:t xml:space="preserve">Flexible deployment.</w:t>
      </w:r>
    </w:p>
    <w:p>
      <w:pPr>
        <w:pStyle w:val="Compact"/>
        <w:numPr>
          <w:ilvl w:val="0"/>
          <w:numId w:val="1020"/>
        </w:numPr>
      </w:pPr>
      <w:r>
        <w:t xml:space="preserve">Simplified maintenance.</w:t>
      </w:r>
    </w:p>
    <w:p>
      <w:pPr>
        <w:pStyle w:val="Compact"/>
        <w:numPr>
          <w:ilvl w:val="0"/>
          <w:numId w:val="1020"/>
        </w:numPr>
      </w:pPr>
      <w:r>
        <w:t xml:space="preserve">Long-term scalability.</w:t>
      </w:r>
    </w:p>
    <w:p>
      <w:pPr>
        <w:pStyle w:val="Compact"/>
        <w:numPr>
          <w:ilvl w:val="0"/>
          <w:numId w:val="1020"/>
        </w:numPr>
      </w:pPr>
      <w:r>
        <w:t xml:space="preserve">Interoperability with ministry systems.</w:t>
      </w:r>
    </w:p>
    <w:p>
      <w:r>
        <w:pict>
          <v:rect style="width:0;height:1.5pt" o:hralign="center" o:hrstd="t" o:hr="t"/>
        </w:pict>
      </w:r>
    </w:p>
    <w:bookmarkEnd w:id="47"/>
    <w:bookmarkStart w:id="48" w:name="transition-to-cybersecurity"/>
    <w:p>
      <w:pPr>
        <w:pStyle w:val="Heading1"/>
      </w:pPr>
      <w:r>
        <w:t xml:space="preserve">10.13 Transition to Cybersecurity</w:t>
      </w:r>
    </w:p>
    <w:p>
      <w:pPr>
        <w:pStyle w:val="FirstParagraph"/>
      </w:pPr>
      <w:r>
        <w:t xml:space="preserve">A national education platform stores operational and administrative information that must be protected against unauthorized access, accidental loss, and cyber threats.</w:t>
      </w:r>
    </w:p>
    <w:p>
      <w:pPr>
        <w:pStyle w:val="BodyText"/>
      </w:pPr>
      <w:r>
        <w:t xml:space="preserve">The next chapter presents the cybersecurity, privacy, data protection, and business continuity framework that will safeguard the platform and support trustworthy operation across all administrative levels.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2026-07-10T12:54:45Z</dcterms:created>
  <dcterms:modified xsi:type="dcterms:W3CDTF">2026-07-10T12:54:45Z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