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4"/>
    <w:p>
      <w:pPr>
        <w:pStyle w:val="Heading1"/>
      </w:pPr>
      <w:r>
        <w:t xml:space="preserve">CHAPTER 14</w:t>
      </w:r>
    </w:p>
    <w:bookmarkEnd w:id="20"/>
    <w:bookmarkStart w:id="22" w:name="Xbeaf39849b9c3568097705239fd3d5b0c39858c"/>
    <w:p>
      <w:pPr>
        <w:pStyle w:val="Heading1"/>
      </w:pPr>
      <w:r>
        <w:t xml:space="preserve">FINANCIAL SUSTAINABILITY, ECONOMIC ANALYSIS, VALUE FOR MONEY AND RETURN ON INVESTMENT</w:t>
      </w:r>
    </w:p>
    <w:bookmarkStart w:id="21" w:name="introduction"/>
    <w:p>
      <w:pPr>
        <w:pStyle w:val="Heading2"/>
      </w:pPr>
      <w:r>
        <w:t xml:space="preserve">14.1 Introduction</w:t>
      </w:r>
    </w:p>
    <w:p>
      <w:pPr>
        <w:pStyle w:val="FirstParagraph"/>
      </w:pPr>
      <w:r>
        <w:t xml:space="preserve">The management of textbooks and learning resources represents one of the largest recurring investments within the education sector. Every year, significant public resources are allocated to curriculum implementation, textbook procurement, printing, transportation, warehousing, school distribution, inventory management, inspection, replacement, and reporting.</w:t>
      </w:r>
    </w:p>
    <w:p>
      <w:pPr>
        <w:pStyle w:val="BodyText"/>
      </w:pPr>
      <w:r>
        <w:t xml:space="preserve">While these investments have expanded access to learning materials, many operational processes remain labour-intensive, fragmented, and largely paper-based. These inefficiencies can increase administrative costs, delay decision-making, reduce visibility into resource utilization, and make it more difficult to optimize future investments.</w:t>
      </w:r>
    </w:p>
    <w:p>
      <w:pPr>
        <w:pStyle w:val="BodyText"/>
      </w:pPr>
      <w:r>
        <w:t xml:space="preserve">The National Digital Textbook Lifecycle &amp; Learning Resource Management System (NDTLRMS) is proposed as a long-term investment in operational efficiency, transparency, and evidence-based resource management. Rather than replacing existing education programmes, it provides the digital infrastructure needed to strengthen their implementation.</w:t>
      </w:r>
    </w:p>
    <w:p>
      <w:r>
        <w:pict>
          <v:rect style="width:0;height:1.5pt" o:hralign="center" o:hrstd="t" o:hr="t"/>
        </w:pict>
      </w:r>
    </w:p>
    <w:bookmarkEnd w:id="21"/>
    <w:bookmarkEnd w:id="22"/>
    <w:bookmarkStart w:id="23" w:name="economic-context"/>
    <w:p>
      <w:pPr>
        <w:pStyle w:val="Heading1"/>
      </w:pPr>
      <w:r>
        <w:t xml:space="preserve">14.2 Economic Context</w:t>
      </w:r>
    </w:p>
    <w:p>
      <w:pPr>
        <w:pStyle w:val="FirstParagraph"/>
      </w:pPr>
      <w:r>
        <w:t xml:space="preserve">Educational resources pass through multiple administrative stages before reaching learners.</w:t>
      </w:r>
    </w:p>
    <w:p>
      <w:pPr>
        <w:pStyle w:val="BodyText"/>
      </w:pPr>
      <w:r>
        <w:t xml:space="preserve">Each stage consumes financial and human resources, including:</w:t>
      </w:r>
    </w:p>
    <w:p>
      <w:pPr>
        <w:pStyle w:val="Compact"/>
        <w:numPr>
          <w:ilvl w:val="0"/>
          <w:numId w:val="1001"/>
        </w:numPr>
      </w:pPr>
      <w:r>
        <w:t xml:space="preserve">Demand planning</w:t>
      </w:r>
    </w:p>
    <w:p>
      <w:pPr>
        <w:pStyle w:val="Compact"/>
        <w:numPr>
          <w:ilvl w:val="0"/>
          <w:numId w:val="1001"/>
        </w:numPr>
      </w:pPr>
      <w:r>
        <w:t xml:space="preserve">Procurement</w:t>
      </w:r>
    </w:p>
    <w:p>
      <w:pPr>
        <w:pStyle w:val="Compact"/>
        <w:numPr>
          <w:ilvl w:val="0"/>
          <w:numId w:val="1001"/>
        </w:numPr>
      </w:pPr>
      <w:r>
        <w:t xml:space="preserve">Printing</w:t>
      </w:r>
    </w:p>
    <w:p>
      <w:pPr>
        <w:pStyle w:val="Compact"/>
        <w:numPr>
          <w:ilvl w:val="0"/>
          <w:numId w:val="1001"/>
        </w:numPr>
      </w:pPr>
      <w:r>
        <w:t xml:space="preserve">Warehousing</w:t>
      </w:r>
    </w:p>
    <w:p>
      <w:pPr>
        <w:pStyle w:val="Compact"/>
        <w:numPr>
          <w:ilvl w:val="0"/>
          <w:numId w:val="1001"/>
        </w:numPr>
      </w:pPr>
      <w:r>
        <w:t xml:space="preserve">Transportation</w:t>
      </w:r>
    </w:p>
    <w:p>
      <w:pPr>
        <w:pStyle w:val="Compact"/>
        <w:numPr>
          <w:ilvl w:val="0"/>
          <w:numId w:val="1001"/>
        </w:numPr>
      </w:pPr>
      <w:r>
        <w:t xml:space="preserve">Distribution</w:t>
      </w:r>
    </w:p>
    <w:p>
      <w:pPr>
        <w:pStyle w:val="Compact"/>
        <w:numPr>
          <w:ilvl w:val="0"/>
          <w:numId w:val="1001"/>
        </w:numPr>
      </w:pPr>
      <w:r>
        <w:t xml:space="preserve">School inventory management</w:t>
      </w:r>
    </w:p>
    <w:p>
      <w:pPr>
        <w:pStyle w:val="Compact"/>
        <w:numPr>
          <w:ilvl w:val="0"/>
          <w:numId w:val="1001"/>
        </w:numPr>
      </w:pPr>
      <w:r>
        <w:t xml:space="preserve">Inspection</w:t>
      </w:r>
    </w:p>
    <w:p>
      <w:pPr>
        <w:pStyle w:val="Compact"/>
        <w:numPr>
          <w:ilvl w:val="0"/>
          <w:numId w:val="1001"/>
        </w:numPr>
      </w:pPr>
      <w:r>
        <w:t xml:space="preserve">Monitoring</w:t>
      </w:r>
    </w:p>
    <w:p>
      <w:pPr>
        <w:pStyle w:val="Compact"/>
        <w:numPr>
          <w:ilvl w:val="0"/>
          <w:numId w:val="1001"/>
        </w:numPr>
      </w:pPr>
      <w:r>
        <w:t xml:space="preserve">Reporting</w:t>
      </w:r>
    </w:p>
    <w:p>
      <w:pPr>
        <w:pStyle w:val="Compact"/>
        <w:numPr>
          <w:ilvl w:val="0"/>
          <w:numId w:val="1001"/>
        </w:numPr>
      </w:pPr>
      <w:r>
        <w:t xml:space="preserve">Replacement</w:t>
      </w:r>
    </w:p>
    <w:p>
      <w:pPr>
        <w:pStyle w:val="FirstParagraph"/>
      </w:pPr>
      <w:r>
        <w:t xml:space="preserve">Small inefficiencies repeated across thousands of schools can accumulate into significant operational costs over time.</w:t>
      </w:r>
    </w:p>
    <w:p>
      <w:pPr>
        <w:pStyle w:val="BodyText"/>
      </w:pPr>
      <w:r>
        <w:t xml:space="preserve">The objective of this project is therefore not only to digitize processes but also to improve the efficiency with which existing public investments are managed.</w:t>
      </w:r>
    </w:p>
    <w:p>
      <w:r>
        <w:pict>
          <v:rect style="width:0;height:1.5pt" o:hralign="center" o:hrstd="t" o:hr="t"/>
        </w:pict>
      </w:r>
    </w:p>
    <w:bookmarkEnd w:id="23"/>
    <w:bookmarkStart w:id="29" w:name="current-cost-drivers"/>
    <w:p>
      <w:pPr>
        <w:pStyle w:val="Heading1"/>
      </w:pPr>
      <w:r>
        <w:t xml:space="preserve">14.3 Current Cost Drivers</w:t>
      </w:r>
    </w:p>
    <w:p>
      <w:pPr>
        <w:pStyle w:val="FirstParagraph"/>
      </w:pPr>
      <w:r>
        <w:t xml:space="preserve">The current operating environment typically involves several recurring cost drivers.</w:t>
      </w:r>
    </w:p>
    <w:bookmarkStart w:id="24" w:name="administrative-costs"/>
    <w:p>
      <w:pPr>
        <w:pStyle w:val="Heading3"/>
      </w:pPr>
      <w:r>
        <w:t xml:space="preserve">Administrative Costs</w:t>
      </w:r>
    </w:p>
    <w:p>
      <w:pPr>
        <w:pStyle w:val="Compact"/>
        <w:numPr>
          <w:ilvl w:val="0"/>
          <w:numId w:val="1002"/>
        </w:numPr>
      </w:pPr>
      <w:r>
        <w:t xml:space="preserve">Manual registers</w:t>
      </w:r>
    </w:p>
    <w:p>
      <w:pPr>
        <w:pStyle w:val="Compact"/>
        <w:numPr>
          <w:ilvl w:val="0"/>
          <w:numId w:val="1002"/>
        </w:numPr>
      </w:pPr>
      <w:r>
        <w:t xml:space="preserve">Paper forms</w:t>
      </w:r>
    </w:p>
    <w:p>
      <w:pPr>
        <w:pStyle w:val="Compact"/>
        <w:numPr>
          <w:ilvl w:val="0"/>
          <w:numId w:val="1002"/>
        </w:numPr>
      </w:pPr>
      <w:r>
        <w:t xml:space="preserve">Repeated data entry</w:t>
      </w:r>
    </w:p>
    <w:p>
      <w:pPr>
        <w:pStyle w:val="Compact"/>
        <w:numPr>
          <w:ilvl w:val="0"/>
          <w:numId w:val="1002"/>
        </w:numPr>
      </w:pPr>
      <w:r>
        <w:t xml:space="preserve">Manual report consolidation</w:t>
      </w:r>
    </w:p>
    <w:p>
      <w:r>
        <w:pict>
          <v:rect style="width:0;height:1.5pt" o:hralign="center" o:hrstd="t" o:hr="t"/>
        </w:pict>
      </w:r>
    </w:p>
    <w:bookmarkEnd w:id="24"/>
    <w:bookmarkStart w:id="25" w:name="logistics-costs"/>
    <w:p>
      <w:pPr>
        <w:pStyle w:val="Heading3"/>
      </w:pPr>
      <w:r>
        <w:t xml:space="preserve">Logistics Costs</w:t>
      </w:r>
    </w:p>
    <w:p>
      <w:pPr>
        <w:pStyle w:val="Compact"/>
        <w:numPr>
          <w:ilvl w:val="0"/>
          <w:numId w:val="1003"/>
        </w:numPr>
      </w:pPr>
      <w:r>
        <w:t xml:space="preserve">Inventory verification visits</w:t>
      </w:r>
    </w:p>
    <w:p>
      <w:pPr>
        <w:pStyle w:val="Compact"/>
        <w:numPr>
          <w:ilvl w:val="0"/>
          <w:numId w:val="1003"/>
        </w:numPr>
      </w:pPr>
      <w:r>
        <w:t xml:space="preserve">Emergency redistribution</w:t>
      </w:r>
    </w:p>
    <w:p>
      <w:pPr>
        <w:pStyle w:val="Compact"/>
        <w:numPr>
          <w:ilvl w:val="0"/>
          <w:numId w:val="1003"/>
        </w:numPr>
      </w:pPr>
      <w:r>
        <w:t xml:space="preserve">Repeated transportation</w:t>
      </w:r>
    </w:p>
    <w:p>
      <w:pPr>
        <w:pStyle w:val="Compact"/>
        <w:numPr>
          <w:ilvl w:val="0"/>
          <w:numId w:val="1003"/>
        </w:numPr>
      </w:pPr>
      <w:r>
        <w:t xml:space="preserve">Warehouse handling</w:t>
      </w:r>
    </w:p>
    <w:p>
      <w:r>
        <w:pict>
          <v:rect style="width:0;height:1.5pt" o:hralign="center" o:hrstd="t" o:hr="t"/>
        </w:pict>
      </w:r>
    </w:p>
    <w:bookmarkEnd w:id="25"/>
    <w:bookmarkStart w:id="26" w:name="operational-costs"/>
    <w:p>
      <w:pPr>
        <w:pStyle w:val="Heading3"/>
      </w:pPr>
      <w:r>
        <w:t xml:space="preserve">Operational Costs</w:t>
      </w:r>
    </w:p>
    <w:p>
      <w:pPr>
        <w:pStyle w:val="Compact"/>
        <w:numPr>
          <w:ilvl w:val="0"/>
          <w:numId w:val="1004"/>
        </w:numPr>
      </w:pPr>
      <w:r>
        <w:t xml:space="preserve">Physical inspections</w:t>
      </w:r>
    </w:p>
    <w:p>
      <w:pPr>
        <w:pStyle w:val="Compact"/>
        <w:numPr>
          <w:ilvl w:val="0"/>
          <w:numId w:val="1004"/>
        </w:numPr>
      </w:pPr>
      <w:r>
        <w:t xml:space="preserve">Stock reconciliation</w:t>
      </w:r>
    </w:p>
    <w:p>
      <w:pPr>
        <w:pStyle w:val="Compact"/>
        <w:numPr>
          <w:ilvl w:val="0"/>
          <w:numId w:val="1004"/>
        </w:numPr>
      </w:pPr>
      <w:r>
        <w:t xml:space="preserve">Investigation of discrepancies</w:t>
      </w:r>
    </w:p>
    <w:p>
      <w:pPr>
        <w:pStyle w:val="Compact"/>
        <w:numPr>
          <w:ilvl w:val="0"/>
          <w:numId w:val="1004"/>
        </w:numPr>
      </w:pPr>
      <w:r>
        <w:t xml:space="preserve">Document management</w:t>
      </w:r>
    </w:p>
    <w:p>
      <w:r>
        <w:pict>
          <v:rect style="width:0;height:1.5pt" o:hralign="center" o:hrstd="t" o:hr="t"/>
        </w:pict>
      </w:r>
    </w:p>
    <w:bookmarkEnd w:id="26"/>
    <w:bookmarkStart w:id="27" w:name="information-costs"/>
    <w:p>
      <w:pPr>
        <w:pStyle w:val="Heading3"/>
      </w:pPr>
      <w:r>
        <w:t xml:space="preserve">Information Costs</w:t>
      </w:r>
    </w:p>
    <w:p>
      <w:pPr>
        <w:pStyle w:val="Compact"/>
        <w:numPr>
          <w:ilvl w:val="0"/>
          <w:numId w:val="1005"/>
        </w:numPr>
      </w:pPr>
      <w:r>
        <w:t xml:space="preserve">Delayed reporting</w:t>
      </w:r>
    </w:p>
    <w:p>
      <w:pPr>
        <w:pStyle w:val="Compact"/>
        <w:numPr>
          <w:ilvl w:val="0"/>
          <w:numId w:val="1005"/>
        </w:numPr>
      </w:pPr>
      <w:r>
        <w:t xml:space="preserve">Incomplete information</w:t>
      </w:r>
    </w:p>
    <w:p>
      <w:pPr>
        <w:pStyle w:val="Compact"/>
        <w:numPr>
          <w:ilvl w:val="0"/>
          <w:numId w:val="1005"/>
        </w:numPr>
      </w:pPr>
      <w:r>
        <w:t xml:space="preserve">Duplicate records</w:t>
      </w:r>
    </w:p>
    <w:p>
      <w:pPr>
        <w:pStyle w:val="Compact"/>
        <w:numPr>
          <w:ilvl w:val="0"/>
          <w:numId w:val="1005"/>
        </w:numPr>
      </w:pPr>
      <w:r>
        <w:t xml:space="preserve">Limited operational visibility</w:t>
      </w:r>
    </w:p>
    <w:p>
      <w:r>
        <w:pict>
          <v:rect style="width:0;height:1.5pt" o:hralign="center" o:hrstd="t" o:hr="t"/>
        </w:pict>
      </w:r>
    </w:p>
    <w:bookmarkEnd w:id="27"/>
    <w:bookmarkStart w:id="28" w:name="opportunity-costs"/>
    <w:p>
      <w:pPr>
        <w:pStyle w:val="Heading3"/>
      </w:pPr>
      <w:r>
        <w:t xml:space="preserve">Opportunity Costs</w:t>
      </w:r>
    </w:p>
    <w:p>
      <w:pPr>
        <w:pStyle w:val="FirstParagraph"/>
      </w:pPr>
      <w:r>
        <w:t xml:space="preserve">Time spent on repetitive administrative work reduces the time available for planning, supervision, and educational support.</w:t>
      </w:r>
    </w:p>
    <w:p>
      <w:r>
        <w:pict>
          <v:rect style="width:0;height:1.5pt" o:hralign="center" o:hrstd="t" o:hr="t"/>
        </w:pict>
      </w:r>
    </w:p>
    <w:bookmarkEnd w:id="28"/>
    <w:bookmarkEnd w:id="29"/>
    <w:bookmarkStart w:id="35" w:name="sources-of-value-creation"/>
    <w:p>
      <w:pPr>
        <w:pStyle w:val="Heading1"/>
      </w:pPr>
      <w:r>
        <w:t xml:space="preserve">14.4 Sources of Value Creation</w:t>
      </w:r>
    </w:p>
    <w:p>
      <w:pPr>
        <w:pStyle w:val="FirstParagraph"/>
      </w:pPr>
      <w:r>
        <w:t xml:space="preserve">The platform creates value in multiple ways.</w:t>
      </w:r>
    </w:p>
    <w:bookmarkStart w:id="30" w:name="operational-efficiency"/>
    <w:p>
      <w:pPr>
        <w:pStyle w:val="Heading2"/>
      </w:pPr>
      <w:r>
        <w:t xml:space="preserve">Operational Efficiency</w:t>
      </w:r>
    </w:p>
    <w:p>
      <w:pPr>
        <w:pStyle w:val="FirstParagraph"/>
      </w:pPr>
      <w:r>
        <w:t xml:space="preserve">Digital workflows reduce repetitive manual processes and improve reporting timeliness.</w:t>
      </w:r>
    </w:p>
    <w:p>
      <w:r>
        <w:pict>
          <v:rect style="width:0;height:1.5pt" o:hralign="center" o:hrstd="t" o:hr="t"/>
        </w:pict>
      </w:r>
    </w:p>
    <w:bookmarkEnd w:id="30"/>
    <w:bookmarkStart w:id="31" w:name="better-resource-allocation"/>
    <w:p>
      <w:pPr>
        <w:pStyle w:val="Heading2"/>
      </w:pPr>
      <w:r>
        <w:t xml:space="preserve">Better Resource Allocation</w:t>
      </w:r>
    </w:p>
    <w:p>
      <w:pPr>
        <w:pStyle w:val="FirstParagraph"/>
      </w:pPr>
      <w:r>
        <w:t xml:space="preserve">Improved visibility enables planners to identify shortages and surpluses earlier, supporting more efficient allocation of existing stock before additional procurement is considered.</w:t>
      </w:r>
    </w:p>
    <w:p>
      <w:r>
        <w:pict>
          <v:rect style="width:0;height:1.5pt" o:hralign="center" o:hrstd="t" o:hr="t"/>
        </w:pict>
      </w:r>
    </w:p>
    <w:bookmarkEnd w:id="31"/>
    <w:bookmarkStart w:id="32" w:name="reduced-administrative-burden"/>
    <w:p>
      <w:pPr>
        <w:pStyle w:val="Heading2"/>
      </w:pPr>
      <w:r>
        <w:t xml:space="preserve">Reduced Administrative Burden</w:t>
      </w:r>
    </w:p>
    <w:p>
      <w:pPr>
        <w:pStyle w:val="FirstParagraph"/>
      </w:pPr>
      <w:r>
        <w:t xml:space="preserve">Automation supports:</w:t>
      </w:r>
    </w:p>
    <w:p>
      <w:pPr>
        <w:pStyle w:val="Compact"/>
        <w:numPr>
          <w:ilvl w:val="0"/>
          <w:numId w:val="1006"/>
        </w:numPr>
      </w:pPr>
      <w:r>
        <w:t xml:space="preserve">Inventory management</w:t>
      </w:r>
    </w:p>
    <w:p>
      <w:pPr>
        <w:pStyle w:val="Compact"/>
        <w:numPr>
          <w:ilvl w:val="0"/>
          <w:numId w:val="1006"/>
        </w:numPr>
      </w:pPr>
      <w:r>
        <w:t xml:space="preserve">Reporting</w:t>
      </w:r>
    </w:p>
    <w:p>
      <w:pPr>
        <w:pStyle w:val="Compact"/>
        <w:numPr>
          <w:ilvl w:val="0"/>
          <w:numId w:val="1006"/>
        </w:numPr>
      </w:pPr>
      <w:r>
        <w:t xml:space="preserve">Inspection preparation</w:t>
      </w:r>
    </w:p>
    <w:p>
      <w:pPr>
        <w:pStyle w:val="Compact"/>
        <w:numPr>
          <w:ilvl w:val="0"/>
          <w:numId w:val="1006"/>
        </w:numPr>
      </w:pPr>
      <w:r>
        <w:t xml:space="preserve">Document retrieval</w:t>
      </w:r>
    </w:p>
    <w:p>
      <w:pPr>
        <w:pStyle w:val="Compact"/>
        <w:numPr>
          <w:ilvl w:val="0"/>
          <w:numId w:val="1006"/>
        </w:numPr>
      </w:pPr>
      <w:r>
        <w:t xml:space="preserve">Dashboard generation</w:t>
      </w:r>
    </w:p>
    <w:p>
      <w:r>
        <w:pict>
          <v:rect style="width:0;height:1.5pt" o:hralign="center" o:hrstd="t" o:hr="t"/>
        </w:pict>
      </w:r>
    </w:p>
    <w:bookmarkEnd w:id="32"/>
    <w:bookmarkStart w:id="33" w:name="improved-accountability"/>
    <w:p>
      <w:pPr>
        <w:pStyle w:val="Heading2"/>
      </w:pPr>
      <w:r>
        <w:t xml:space="preserve">Improved Accountability</w:t>
      </w:r>
    </w:p>
    <w:p>
      <w:pPr>
        <w:pStyle w:val="FirstParagraph"/>
      </w:pPr>
      <w:r>
        <w:t xml:space="preserve">Digital transaction histories strengthen traceability and facilitate investigations into discrepancies.</w:t>
      </w:r>
    </w:p>
    <w:p>
      <w:r>
        <w:pict>
          <v:rect style="width:0;height:1.5pt" o:hralign="center" o:hrstd="t" o:hr="t"/>
        </w:pict>
      </w:r>
    </w:p>
    <w:bookmarkEnd w:id="33"/>
    <w:bookmarkStart w:id="34" w:name="better-planning"/>
    <w:p>
      <w:pPr>
        <w:pStyle w:val="Heading2"/>
      </w:pPr>
      <w:r>
        <w:t xml:space="preserve">Better Planning</w:t>
      </w:r>
    </w:p>
    <w:p>
      <w:pPr>
        <w:pStyle w:val="FirstParagraph"/>
      </w:pPr>
      <w:r>
        <w:t xml:space="preserve">Reliable operational information supports:</w:t>
      </w:r>
    </w:p>
    <w:p>
      <w:pPr>
        <w:pStyle w:val="Compact"/>
        <w:numPr>
          <w:ilvl w:val="0"/>
          <w:numId w:val="1007"/>
        </w:numPr>
      </w:pPr>
      <w:r>
        <w:t xml:space="preserve">Procurement planning</w:t>
      </w:r>
    </w:p>
    <w:p>
      <w:pPr>
        <w:pStyle w:val="Compact"/>
        <w:numPr>
          <w:ilvl w:val="0"/>
          <w:numId w:val="1007"/>
        </w:numPr>
      </w:pPr>
      <w:r>
        <w:t xml:space="preserve">Redistribution planning</w:t>
      </w:r>
    </w:p>
    <w:p>
      <w:pPr>
        <w:pStyle w:val="Compact"/>
        <w:numPr>
          <w:ilvl w:val="0"/>
          <w:numId w:val="1007"/>
        </w:numPr>
      </w:pPr>
      <w:r>
        <w:t xml:space="preserve">Replacement planning</w:t>
      </w:r>
    </w:p>
    <w:p>
      <w:pPr>
        <w:pStyle w:val="Compact"/>
        <w:numPr>
          <w:ilvl w:val="0"/>
          <w:numId w:val="1007"/>
        </w:numPr>
      </w:pPr>
      <w:r>
        <w:t xml:space="preserve">Budget preparation</w:t>
      </w:r>
    </w:p>
    <w:p>
      <w:r>
        <w:pict>
          <v:rect style="width:0;height:1.5pt" o:hralign="center" o:hrstd="t" o:hr="t"/>
        </w:pict>
      </w:r>
    </w:p>
    <w:bookmarkEnd w:id="34"/>
    <w:bookmarkEnd w:id="35"/>
    <w:bookmarkStart w:id="39" w:name="financial-sustainability-framework"/>
    <w:p>
      <w:pPr>
        <w:pStyle w:val="Heading1"/>
      </w:pPr>
      <w:r>
        <w:t xml:space="preserve">14.5 Financial Sustainability Framework</w:t>
      </w:r>
    </w:p>
    <w:p>
      <w:pPr>
        <w:pStyle w:val="FirstParagraph"/>
      </w:pPr>
      <w:r>
        <w:t xml:space="preserve">Long-term sustainability requires more than software deployment.</w:t>
      </w:r>
    </w:p>
    <w:p>
      <w:pPr>
        <w:pStyle w:val="BodyText"/>
      </w:pPr>
      <w:r>
        <w:t xml:space="preserve">The framework includes:</w:t>
      </w:r>
    </w:p>
    <w:bookmarkStart w:id="36" w:name="institutional-sustainability"/>
    <w:p>
      <w:pPr>
        <w:pStyle w:val="Heading2"/>
      </w:pPr>
      <w:r>
        <w:t xml:space="preserve">Institutional Sustainability</w:t>
      </w:r>
    </w:p>
    <w:p>
      <w:pPr>
        <w:pStyle w:val="Compact"/>
        <w:numPr>
          <w:ilvl w:val="0"/>
          <w:numId w:val="1008"/>
        </w:numPr>
      </w:pPr>
      <w:r>
        <w:t xml:space="preserve">Ministry ownership</w:t>
      </w:r>
    </w:p>
    <w:p>
      <w:pPr>
        <w:pStyle w:val="Compact"/>
        <w:numPr>
          <w:ilvl w:val="0"/>
          <w:numId w:val="1008"/>
        </w:numPr>
      </w:pPr>
      <w:r>
        <w:t xml:space="preserve">Internal system administration</w:t>
      </w:r>
    </w:p>
    <w:p>
      <w:pPr>
        <w:pStyle w:val="Compact"/>
        <w:numPr>
          <w:ilvl w:val="0"/>
          <w:numId w:val="1008"/>
        </w:numPr>
      </w:pPr>
      <w:r>
        <w:t xml:space="preserve">National governance</w:t>
      </w:r>
    </w:p>
    <w:p>
      <w:pPr>
        <w:pStyle w:val="Compact"/>
        <w:numPr>
          <w:ilvl w:val="0"/>
          <w:numId w:val="1008"/>
        </w:numPr>
      </w:pPr>
      <w:r>
        <w:t xml:space="preserve">Standard operating procedures</w:t>
      </w:r>
    </w:p>
    <w:p>
      <w:r>
        <w:pict>
          <v:rect style="width:0;height:1.5pt" o:hralign="center" o:hrstd="t" o:hr="t"/>
        </w:pict>
      </w:r>
    </w:p>
    <w:bookmarkEnd w:id="36"/>
    <w:bookmarkStart w:id="37" w:name="technical-sustainability"/>
    <w:p>
      <w:pPr>
        <w:pStyle w:val="Heading2"/>
      </w:pPr>
      <w:r>
        <w:t xml:space="preserve">Technical Sustainability</w:t>
      </w:r>
    </w:p>
    <w:p>
      <w:pPr>
        <w:pStyle w:val="Compact"/>
        <w:numPr>
          <w:ilvl w:val="0"/>
          <w:numId w:val="1009"/>
        </w:numPr>
      </w:pPr>
      <w:r>
        <w:t xml:space="preserve">Modular architecture</w:t>
      </w:r>
    </w:p>
    <w:p>
      <w:pPr>
        <w:pStyle w:val="Compact"/>
        <w:numPr>
          <w:ilvl w:val="0"/>
          <w:numId w:val="1009"/>
        </w:numPr>
      </w:pPr>
      <w:r>
        <w:t xml:space="preserve">Scalable infrastructure</w:t>
      </w:r>
    </w:p>
    <w:p>
      <w:pPr>
        <w:pStyle w:val="Compact"/>
        <w:numPr>
          <w:ilvl w:val="0"/>
          <w:numId w:val="1009"/>
        </w:numPr>
      </w:pPr>
      <w:r>
        <w:t xml:space="preserve">Documentation</w:t>
      </w:r>
    </w:p>
    <w:p>
      <w:pPr>
        <w:pStyle w:val="Compact"/>
        <w:numPr>
          <w:ilvl w:val="0"/>
          <w:numId w:val="1009"/>
        </w:numPr>
      </w:pPr>
      <w:r>
        <w:t xml:space="preserve">Continuous maintenance</w:t>
      </w:r>
    </w:p>
    <w:p>
      <w:pPr>
        <w:pStyle w:val="Compact"/>
        <w:numPr>
          <w:ilvl w:val="0"/>
          <w:numId w:val="1009"/>
        </w:numPr>
      </w:pPr>
      <w:r>
        <w:t xml:space="preserve">Knowledge transfer</w:t>
      </w:r>
    </w:p>
    <w:p>
      <w:r>
        <w:pict>
          <v:rect style="width:0;height:1.5pt" o:hralign="center" o:hrstd="t" o:hr="t"/>
        </w:pict>
      </w:r>
    </w:p>
    <w:bookmarkEnd w:id="37"/>
    <w:bookmarkStart w:id="38" w:name="financial-sustainability"/>
    <w:p>
      <w:pPr>
        <w:pStyle w:val="Heading2"/>
      </w:pPr>
      <w:r>
        <w:t xml:space="preserve">Financial Sustainability</w:t>
      </w:r>
    </w:p>
    <w:p>
      <w:pPr>
        <w:pStyle w:val="FirstParagraph"/>
      </w:pPr>
      <w:r>
        <w:t xml:space="preserve">Potential long-term funding sources may include:</w:t>
      </w:r>
    </w:p>
    <w:p>
      <w:pPr>
        <w:pStyle w:val="Compact"/>
        <w:numPr>
          <w:ilvl w:val="0"/>
          <w:numId w:val="1010"/>
        </w:numPr>
      </w:pPr>
      <w:r>
        <w:t xml:space="preserve">National education budgets</w:t>
      </w:r>
    </w:p>
    <w:p>
      <w:pPr>
        <w:pStyle w:val="Compact"/>
        <w:numPr>
          <w:ilvl w:val="0"/>
          <w:numId w:val="1010"/>
        </w:numPr>
      </w:pPr>
      <w:r>
        <w:t xml:space="preserve">Approved digital transformation programmes</w:t>
      </w:r>
    </w:p>
    <w:p>
      <w:pPr>
        <w:pStyle w:val="Compact"/>
        <w:numPr>
          <w:ilvl w:val="0"/>
          <w:numId w:val="1010"/>
        </w:numPr>
      </w:pPr>
      <w:r>
        <w:t xml:space="preserve">Development partner support</w:t>
      </w:r>
    </w:p>
    <w:p>
      <w:pPr>
        <w:pStyle w:val="Compact"/>
        <w:numPr>
          <w:ilvl w:val="0"/>
          <w:numId w:val="1010"/>
        </w:numPr>
      </w:pPr>
      <w:r>
        <w:t xml:space="preserve">Future operational budget allocations</w:t>
      </w:r>
    </w:p>
    <w:p>
      <w:pPr>
        <w:pStyle w:val="FirstParagraph"/>
      </w:pPr>
      <w:r>
        <w:t xml:space="preserve">The specific financing model should be determined by the Government and participating partners.</w:t>
      </w:r>
    </w:p>
    <w:p>
      <w:r>
        <w:pict>
          <v:rect style="width:0;height:1.5pt" o:hralign="center" o:hrstd="t" o:hr="t"/>
        </w:pict>
      </w:r>
    </w:p>
    <w:bookmarkEnd w:id="38"/>
    <w:bookmarkEnd w:id="39"/>
    <w:bookmarkStart w:id="43" w:name="total-cost-of-ownership"/>
    <w:p>
      <w:pPr>
        <w:pStyle w:val="Heading1"/>
      </w:pPr>
      <w:r>
        <w:t xml:space="preserve">14.6 Total Cost of Ownership</w:t>
      </w:r>
    </w:p>
    <w:p>
      <w:pPr>
        <w:pStyle w:val="FirstParagraph"/>
      </w:pPr>
      <w:r>
        <w:t xml:space="preserve">The Total Cost of Ownership (TCO) should consider the full lifecycle of the platform, including:</w:t>
      </w:r>
    </w:p>
    <w:bookmarkStart w:id="40" w:name="initial-investment"/>
    <w:p>
      <w:pPr>
        <w:pStyle w:val="Heading3"/>
      </w:pPr>
      <w:r>
        <w:t xml:space="preserve">Initial Investment</w:t>
      </w:r>
    </w:p>
    <w:p>
      <w:pPr>
        <w:pStyle w:val="Compact"/>
        <w:numPr>
          <w:ilvl w:val="0"/>
          <w:numId w:val="1011"/>
        </w:numPr>
      </w:pPr>
      <w:r>
        <w:t xml:space="preserve">System configuration</w:t>
      </w:r>
    </w:p>
    <w:p>
      <w:pPr>
        <w:pStyle w:val="Compact"/>
        <w:numPr>
          <w:ilvl w:val="0"/>
          <w:numId w:val="1011"/>
        </w:numPr>
      </w:pPr>
      <w:r>
        <w:t xml:space="preserve">Infrastructure</w:t>
      </w:r>
    </w:p>
    <w:p>
      <w:pPr>
        <w:pStyle w:val="Compact"/>
        <w:numPr>
          <w:ilvl w:val="0"/>
          <w:numId w:val="1011"/>
        </w:numPr>
      </w:pPr>
      <w:r>
        <w:t xml:space="preserve">Training</w:t>
      </w:r>
    </w:p>
    <w:p>
      <w:pPr>
        <w:pStyle w:val="Compact"/>
        <w:numPr>
          <w:ilvl w:val="0"/>
          <w:numId w:val="1011"/>
        </w:numPr>
      </w:pPr>
      <w:r>
        <w:t xml:space="preserve">Deployment</w:t>
      </w:r>
    </w:p>
    <w:p>
      <w:r>
        <w:pict>
          <v:rect style="width:0;height:1.5pt" o:hralign="center" o:hrstd="t" o:hr="t"/>
        </w:pict>
      </w:r>
    </w:p>
    <w:bookmarkEnd w:id="40"/>
    <w:bookmarkStart w:id="41" w:name="operational-costs-1"/>
    <w:p>
      <w:pPr>
        <w:pStyle w:val="Heading3"/>
      </w:pPr>
      <w:r>
        <w:t xml:space="preserve">Operational Costs</w:t>
      </w:r>
    </w:p>
    <w:p>
      <w:pPr>
        <w:pStyle w:val="Compact"/>
        <w:numPr>
          <w:ilvl w:val="0"/>
          <w:numId w:val="1012"/>
        </w:numPr>
      </w:pPr>
      <w:r>
        <w:t xml:space="preserve">Technical support</w:t>
      </w:r>
    </w:p>
    <w:p>
      <w:pPr>
        <w:pStyle w:val="Compact"/>
        <w:numPr>
          <w:ilvl w:val="0"/>
          <w:numId w:val="1012"/>
        </w:numPr>
      </w:pPr>
      <w:r>
        <w:t xml:space="preserve">Maintenance</w:t>
      </w:r>
    </w:p>
    <w:p>
      <w:pPr>
        <w:pStyle w:val="Compact"/>
        <w:numPr>
          <w:ilvl w:val="0"/>
          <w:numId w:val="1012"/>
        </w:numPr>
      </w:pPr>
      <w:r>
        <w:t xml:space="preserve">Infrastructure operations</w:t>
      </w:r>
    </w:p>
    <w:p>
      <w:pPr>
        <w:pStyle w:val="Compact"/>
        <w:numPr>
          <w:ilvl w:val="0"/>
          <w:numId w:val="1012"/>
        </w:numPr>
      </w:pPr>
      <w:r>
        <w:t xml:space="preserve">Security updates</w:t>
      </w:r>
    </w:p>
    <w:p>
      <w:pPr>
        <w:pStyle w:val="Compact"/>
        <w:numPr>
          <w:ilvl w:val="0"/>
          <w:numId w:val="1012"/>
        </w:numPr>
      </w:pPr>
      <w:r>
        <w:t xml:space="preserve">User support</w:t>
      </w:r>
    </w:p>
    <w:p>
      <w:r>
        <w:pict>
          <v:rect style="width:0;height:1.5pt" o:hralign="center" o:hrstd="t" o:hr="t"/>
        </w:pict>
      </w:r>
    </w:p>
    <w:bookmarkEnd w:id="41"/>
    <w:bookmarkStart w:id="42" w:name="future-enhancements"/>
    <w:p>
      <w:pPr>
        <w:pStyle w:val="Heading3"/>
      </w:pPr>
      <w:r>
        <w:t xml:space="preserve">Future Enhancements</w:t>
      </w:r>
    </w:p>
    <w:p>
      <w:pPr>
        <w:pStyle w:val="Compact"/>
        <w:numPr>
          <w:ilvl w:val="0"/>
          <w:numId w:val="1013"/>
        </w:numPr>
      </w:pPr>
      <w:r>
        <w:t xml:space="preserve">Additional modules</w:t>
      </w:r>
    </w:p>
    <w:p>
      <w:pPr>
        <w:pStyle w:val="Compact"/>
        <w:numPr>
          <w:ilvl w:val="0"/>
          <w:numId w:val="1013"/>
        </w:numPr>
      </w:pPr>
      <w:r>
        <w:t xml:space="preserve">System upgrades</w:t>
      </w:r>
    </w:p>
    <w:p>
      <w:pPr>
        <w:pStyle w:val="Compact"/>
        <w:numPr>
          <w:ilvl w:val="0"/>
          <w:numId w:val="1013"/>
        </w:numPr>
      </w:pPr>
      <w:r>
        <w:t xml:space="preserve">Capacity expansion</w:t>
      </w:r>
    </w:p>
    <w:p>
      <w:pPr>
        <w:pStyle w:val="Compact"/>
        <w:numPr>
          <w:ilvl w:val="0"/>
          <w:numId w:val="1013"/>
        </w:numPr>
      </w:pPr>
      <w:r>
        <w:t xml:space="preserve">Integration with additional ministry systems</w:t>
      </w:r>
    </w:p>
    <w:p>
      <w:r>
        <w:pict>
          <v:rect style="width:0;height:1.5pt" o:hralign="center" o:hrstd="t" o:hr="t"/>
        </w:pict>
      </w:r>
    </w:p>
    <w:bookmarkEnd w:id="42"/>
    <w:bookmarkEnd w:id="43"/>
    <w:bookmarkStart w:id="48" w:name="value-for-money-framework"/>
    <w:p>
      <w:pPr>
        <w:pStyle w:val="Heading1"/>
      </w:pPr>
      <w:r>
        <w:t xml:space="preserve">14.7 Value for Money Framework</w:t>
      </w:r>
    </w:p>
    <w:p>
      <w:pPr>
        <w:pStyle w:val="FirstParagraph"/>
      </w:pPr>
      <w:r>
        <w:t xml:space="preserve">Value for Money is assessed through four complementary dimensions.</w:t>
      </w:r>
    </w:p>
    <w:bookmarkStart w:id="44" w:name="economy"/>
    <w:p>
      <w:pPr>
        <w:pStyle w:val="Heading2"/>
      </w:pPr>
      <w:r>
        <w:t xml:space="preserve">Economy</w:t>
      </w:r>
    </w:p>
    <w:p>
      <w:pPr>
        <w:pStyle w:val="FirstParagraph"/>
      </w:pPr>
      <w:r>
        <w:t xml:space="preserve">Acquire appropriate solutions at competitive cost while meeting quality requirements.</w:t>
      </w:r>
    </w:p>
    <w:p>
      <w:r>
        <w:pict>
          <v:rect style="width:0;height:1.5pt" o:hralign="center" o:hrstd="t" o:hr="t"/>
        </w:pict>
      </w:r>
    </w:p>
    <w:bookmarkEnd w:id="44"/>
    <w:bookmarkStart w:id="45" w:name="efficiency"/>
    <w:p>
      <w:pPr>
        <w:pStyle w:val="Heading2"/>
      </w:pPr>
      <w:r>
        <w:t xml:space="preserve">Efficiency</w:t>
      </w:r>
    </w:p>
    <w:p>
      <w:pPr>
        <w:pStyle w:val="FirstParagraph"/>
      </w:pPr>
      <w:r>
        <w:t xml:space="preserve">Deliver services using resources effectively and reduce unnecessary administrative effort.</w:t>
      </w:r>
    </w:p>
    <w:p>
      <w:r>
        <w:pict>
          <v:rect style="width:0;height:1.5pt" o:hralign="center" o:hrstd="t" o:hr="t"/>
        </w:pict>
      </w:r>
    </w:p>
    <w:bookmarkEnd w:id="45"/>
    <w:bookmarkStart w:id="46" w:name="effectiveness"/>
    <w:p>
      <w:pPr>
        <w:pStyle w:val="Heading2"/>
      </w:pPr>
      <w:r>
        <w:t xml:space="preserve">Effectiveness</w:t>
      </w:r>
    </w:p>
    <w:p>
      <w:pPr>
        <w:pStyle w:val="FirstParagraph"/>
      </w:pPr>
      <w:r>
        <w:t xml:space="preserve">Achieve programme objectives through improved management of educational resources.</w:t>
      </w:r>
    </w:p>
    <w:p>
      <w:r>
        <w:pict>
          <v:rect style="width:0;height:1.5pt" o:hralign="center" o:hrstd="t" o:hr="t"/>
        </w:pict>
      </w:r>
    </w:p>
    <w:bookmarkEnd w:id="46"/>
    <w:bookmarkStart w:id="47" w:name="equity"/>
    <w:p>
      <w:pPr>
        <w:pStyle w:val="Heading2"/>
      </w:pPr>
      <w:r>
        <w:t xml:space="preserve">Equity</w:t>
      </w:r>
    </w:p>
    <w:p>
      <w:pPr>
        <w:pStyle w:val="FirstParagraph"/>
      </w:pPr>
      <w:r>
        <w:t xml:space="preserve">Support more equitable allocation of learning resources across schools and regions.</w:t>
      </w:r>
    </w:p>
    <w:p>
      <w:r>
        <w:pict>
          <v:rect style="width:0;height:1.5pt" o:hralign="center" o:hrstd="t" o:hr="t"/>
        </w:pict>
      </w:r>
    </w:p>
    <w:bookmarkEnd w:id="47"/>
    <w:bookmarkEnd w:id="48"/>
    <w:bookmarkStart w:id="53" w:name="measuring-return-on-investment"/>
    <w:p>
      <w:pPr>
        <w:pStyle w:val="Heading1"/>
      </w:pPr>
      <w:r>
        <w:t xml:space="preserve">14.8 Measuring Return on Investment</w:t>
      </w:r>
    </w:p>
    <w:p>
      <w:pPr>
        <w:pStyle w:val="FirstParagraph"/>
      </w:pPr>
      <w:r>
        <w:t xml:space="preserve">Return on investment should be assessed using a balanced approach.</w:t>
      </w:r>
    </w:p>
    <w:bookmarkStart w:id="49" w:name="financial-indicators"/>
    <w:p>
      <w:pPr>
        <w:pStyle w:val="Heading3"/>
      </w:pPr>
      <w:r>
        <w:t xml:space="preserve">Financial Indicators</w:t>
      </w:r>
    </w:p>
    <w:p>
      <w:pPr>
        <w:pStyle w:val="Compact"/>
        <w:numPr>
          <w:ilvl w:val="0"/>
          <w:numId w:val="1014"/>
        </w:numPr>
      </w:pPr>
      <w:r>
        <w:t xml:space="preserve">Administrative cost trends.</w:t>
      </w:r>
    </w:p>
    <w:p>
      <w:pPr>
        <w:pStyle w:val="Compact"/>
        <w:numPr>
          <w:ilvl w:val="0"/>
          <w:numId w:val="1014"/>
        </w:numPr>
      </w:pPr>
      <w:r>
        <w:t xml:space="preserve">Resource utilization.</w:t>
      </w:r>
    </w:p>
    <w:p>
      <w:pPr>
        <w:pStyle w:val="Compact"/>
        <w:numPr>
          <w:ilvl w:val="0"/>
          <w:numId w:val="1014"/>
        </w:numPr>
      </w:pPr>
      <w:r>
        <w:t xml:space="preserve">Inventory accuracy.</w:t>
      </w:r>
    </w:p>
    <w:p>
      <w:pPr>
        <w:pStyle w:val="Compact"/>
        <w:numPr>
          <w:ilvl w:val="0"/>
          <w:numId w:val="1014"/>
        </w:numPr>
      </w:pPr>
      <w:r>
        <w:t xml:space="preserve">Procurement planning improvements.</w:t>
      </w:r>
    </w:p>
    <w:p>
      <w:r>
        <w:pict>
          <v:rect style="width:0;height:1.5pt" o:hralign="center" o:hrstd="t" o:hr="t"/>
        </w:pict>
      </w:r>
    </w:p>
    <w:bookmarkEnd w:id="49"/>
    <w:bookmarkStart w:id="50" w:name="operational-indicators"/>
    <w:p>
      <w:pPr>
        <w:pStyle w:val="Heading3"/>
      </w:pPr>
      <w:r>
        <w:t xml:space="preserve">Operational Indicators</w:t>
      </w:r>
    </w:p>
    <w:p>
      <w:pPr>
        <w:pStyle w:val="Compact"/>
        <w:numPr>
          <w:ilvl w:val="0"/>
          <w:numId w:val="1015"/>
        </w:numPr>
      </w:pPr>
      <w:r>
        <w:t xml:space="preserve">Reporting timeliness.</w:t>
      </w:r>
    </w:p>
    <w:p>
      <w:pPr>
        <w:pStyle w:val="Compact"/>
        <w:numPr>
          <w:ilvl w:val="0"/>
          <w:numId w:val="1015"/>
        </w:numPr>
      </w:pPr>
      <w:r>
        <w:t xml:space="preserve">Distribution performance.</w:t>
      </w:r>
    </w:p>
    <w:p>
      <w:pPr>
        <w:pStyle w:val="Compact"/>
        <w:numPr>
          <w:ilvl w:val="0"/>
          <w:numId w:val="1015"/>
        </w:numPr>
      </w:pPr>
      <w:r>
        <w:t xml:space="preserve">Inspection efficiency.</w:t>
      </w:r>
    </w:p>
    <w:p>
      <w:pPr>
        <w:pStyle w:val="Compact"/>
        <w:numPr>
          <w:ilvl w:val="0"/>
          <w:numId w:val="1015"/>
        </w:numPr>
      </w:pPr>
      <w:r>
        <w:t xml:space="preserve">Inventory reconciliation.</w:t>
      </w:r>
    </w:p>
    <w:p>
      <w:r>
        <w:pict>
          <v:rect style="width:0;height:1.5pt" o:hralign="center" o:hrstd="t" o:hr="t"/>
        </w:pict>
      </w:r>
    </w:p>
    <w:bookmarkEnd w:id="50"/>
    <w:bookmarkStart w:id="51" w:name="institutional-indicators"/>
    <w:p>
      <w:pPr>
        <w:pStyle w:val="Heading3"/>
      </w:pPr>
      <w:r>
        <w:t xml:space="preserve">Institutional Indicators</w:t>
      </w:r>
    </w:p>
    <w:p>
      <w:pPr>
        <w:pStyle w:val="Compact"/>
        <w:numPr>
          <w:ilvl w:val="0"/>
          <w:numId w:val="1016"/>
        </w:numPr>
      </w:pPr>
      <w:r>
        <w:t xml:space="preserve">User adoption.</w:t>
      </w:r>
    </w:p>
    <w:p>
      <w:pPr>
        <w:pStyle w:val="Compact"/>
        <w:numPr>
          <w:ilvl w:val="0"/>
          <w:numId w:val="1016"/>
        </w:numPr>
      </w:pPr>
      <w:r>
        <w:t xml:space="preserve">Data quality.</w:t>
      </w:r>
    </w:p>
    <w:p>
      <w:pPr>
        <w:pStyle w:val="Compact"/>
        <w:numPr>
          <w:ilvl w:val="0"/>
          <w:numId w:val="1016"/>
        </w:numPr>
      </w:pPr>
      <w:r>
        <w:t xml:space="preserve">Decision-making speed.</w:t>
      </w:r>
    </w:p>
    <w:p>
      <w:pPr>
        <w:pStyle w:val="Compact"/>
        <w:numPr>
          <w:ilvl w:val="0"/>
          <w:numId w:val="1016"/>
        </w:numPr>
      </w:pPr>
      <w:r>
        <w:t xml:space="preserve">Governance improvements.</w:t>
      </w:r>
    </w:p>
    <w:p>
      <w:r>
        <w:pict>
          <v:rect style="width:0;height:1.5pt" o:hralign="center" o:hrstd="t" o:hr="t"/>
        </w:pict>
      </w:r>
    </w:p>
    <w:bookmarkEnd w:id="51"/>
    <w:bookmarkStart w:id="52" w:name="educational-indicators"/>
    <w:p>
      <w:pPr>
        <w:pStyle w:val="Heading3"/>
      </w:pPr>
      <w:r>
        <w:t xml:space="preserve">Educational Indicators</w:t>
      </w:r>
    </w:p>
    <w:p>
      <w:pPr>
        <w:pStyle w:val="Compact"/>
        <w:numPr>
          <w:ilvl w:val="0"/>
          <w:numId w:val="1017"/>
        </w:numPr>
      </w:pPr>
      <w:r>
        <w:t xml:space="preserve">Textbook availability.</w:t>
      </w:r>
    </w:p>
    <w:p>
      <w:pPr>
        <w:pStyle w:val="Compact"/>
        <w:numPr>
          <w:ilvl w:val="0"/>
          <w:numId w:val="1017"/>
        </w:numPr>
      </w:pPr>
      <w:r>
        <w:t xml:space="preserve">Resource accessibility.</w:t>
      </w:r>
    </w:p>
    <w:p>
      <w:pPr>
        <w:pStyle w:val="Compact"/>
        <w:numPr>
          <w:ilvl w:val="0"/>
          <w:numId w:val="1017"/>
        </w:numPr>
      </w:pPr>
      <w:r>
        <w:t xml:space="preserve">Classroom readiness.</w:t>
      </w:r>
    </w:p>
    <w:p>
      <w:pPr>
        <w:pStyle w:val="Compact"/>
        <w:numPr>
          <w:ilvl w:val="0"/>
          <w:numId w:val="1017"/>
        </w:numPr>
      </w:pPr>
      <w:r>
        <w:t xml:space="preserve">Support for teaching and learning.</w:t>
      </w:r>
    </w:p>
    <w:p>
      <w:r>
        <w:pict>
          <v:rect style="width:0;height:1.5pt" o:hralign="center" o:hrstd="t" o:hr="t"/>
        </w:pict>
      </w:r>
    </w:p>
    <w:bookmarkEnd w:id="52"/>
    <w:bookmarkEnd w:id="53"/>
    <w:bookmarkStart w:id="61" w:name="national-scaling-strategy"/>
    <w:p>
      <w:pPr>
        <w:pStyle w:val="Heading1"/>
      </w:pPr>
      <w:r>
        <w:t xml:space="preserve">14.9 National Scaling Strategy</w:t>
      </w:r>
    </w:p>
    <w:p>
      <w:pPr>
        <w:pStyle w:val="FirstParagraph"/>
      </w:pPr>
      <w:r>
        <w:t xml:space="preserve">The platform is designed to grow progressively.</w:t>
      </w:r>
    </w:p>
    <w:bookmarkStart w:id="54" w:name="stage-1"/>
    <w:p>
      <w:pPr>
        <w:pStyle w:val="Heading3"/>
      </w:pPr>
      <w:r>
        <w:t xml:space="preserve">Stage 1</w:t>
      </w:r>
    </w:p>
    <w:p>
      <w:pPr>
        <w:pStyle w:val="FirstParagraph"/>
      </w:pPr>
      <w:r>
        <w:t xml:space="preserve">National textbook lifecycle management.</w:t>
      </w:r>
    </w:p>
    <w:p>
      <w:r>
        <w:pict>
          <v:rect style="width:0;height:1.5pt" o:hralign="center" o:hrstd="t" o:hr="t"/>
        </w:pict>
      </w:r>
    </w:p>
    <w:bookmarkEnd w:id="54"/>
    <w:bookmarkStart w:id="55" w:name="stage-2"/>
    <w:p>
      <w:pPr>
        <w:pStyle w:val="Heading3"/>
      </w:pPr>
      <w:r>
        <w:t xml:space="preserve">Stage 2</w:t>
      </w:r>
    </w:p>
    <w:p>
      <w:pPr>
        <w:pStyle w:val="FirstParagraph"/>
      </w:pPr>
      <w:r>
        <w:t xml:space="preserve">Library resource management.</w:t>
      </w:r>
    </w:p>
    <w:p>
      <w:r>
        <w:pict>
          <v:rect style="width:0;height:1.5pt" o:hralign="center" o:hrstd="t" o:hr="t"/>
        </w:pict>
      </w:r>
    </w:p>
    <w:bookmarkEnd w:id="55"/>
    <w:bookmarkStart w:id="56" w:name="stage-3"/>
    <w:p>
      <w:pPr>
        <w:pStyle w:val="Heading3"/>
      </w:pPr>
      <w:r>
        <w:t xml:space="preserve">Stage 3</w:t>
      </w:r>
    </w:p>
    <w:p>
      <w:pPr>
        <w:pStyle w:val="FirstParagraph"/>
      </w:pPr>
      <w:r>
        <w:t xml:space="preserve">Laboratory equipment management.</w:t>
      </w:r>
    </w:p>
    <w:p>
      <w:r>
        <w:pict>
          <v:rect style="width:0;height:1.5pt" o:hralign="center" o:hrstd="t" o:hr="t"/>
        </w:pict>
      </w:r>
    </w:p>
    <w:bookmarkEnd w:id="56"/>
    <w:bookmarkStart w:id="57" w:name="stage-4"/>
    <w:p>
      <w:pPr>
        <w:pStyle w:val="Heading3"/>
      </w:pPr>
      <w:r>
        <w:t xml:space="preserve">Stage 4</w:t>
      </w:r>
    </w:p>
    <w:p>
      <w:pPr>
        <w:pStyle w:val="FirstParagraph"/>
      </w:pPr>
      <w:r>
        <w:t xml:space="preserve">ICT equipment management.</w:t>
      </w:r>
    </w:p>
    <w:p>
      <w:r>
        <w:pict>
          <v:rect style="width:0;height:1.5pt" o:hralign="center" o:hrstd="t" o:hr="t"/>
        </w:pict>
      </w:r>
    </w:p>
    <w:bookmarkEnd w:id="57"/>
    <w:bookmarkStart w:id="58" w:name="stage-5"/>
    <w:p>
      <w:pPr>
        <w:pStyle w:val="Heading3"/>
      </w:pPr>
      <w:r>
        <w:t xml:space="preserve">Stage 5</w:t>
      </w:r>
    </w:p>
    <w:p>
      <w:pPr>
        <w:pStyle w:val="FirstParagraph"/>
      </w:pPr>
      <w:r>
        <w:t xml:space="preserve">Furniture management.</w:t>
      </w:r>
    </w:p>
    <w:p>
      <w:r>
        <w:pict>
          <v:rect style="width:0;height:1.5pt" o:hralign="center" o:hrstd="t" o:hr="t"/>
        </w:pict>
      </w:r>
    </w:p>
    <w:bookmarkEnd w:id="58"/>
    <w:bookmarkStart w:id="59" w:name="stage-6"/>
    <w:p>
      <w:pPr>
        <w:pStyle w:val="Heading3"/>
      </w:pPr>
      <w:r>
        <w:t xml:space="preserve">Stage 6</w:t>
      </w:r>
    </w:p>
    <w:p>
      <w:pPr>
        <w:pStyle w:val="FirstParagraph"/>
      </w:pPr>
      <w:r>
        <w:t xml:space="preserve">School infrastructure monitoring.</w:t>
      </w:r>
    </w:p>
    <w:p>
      <w:r>
        <w:pict>
          <v:rect style="width:0;height:1.5pt" o:hralign="center" o:hrstd="t" o:hr="t"/>
        </w:pict>
      </w:r>
    </w:p>
    <w:bookmarkEnd w:id="59"/>
    <w:bookmarkStart w:id="60" w:name="stage-7"/>
    <w:p>
      <w:pPr>
        <w:pStyle w:val="Heading3"/>
      </w:pPr>
      <w:r>
        <w:t xml:space="preserve">Stage 7</w:t>
      </w:r>
    </w:p>
    <w:p>
      <w:pPr>
        <w:pStyle w:val="FirstParagraph"/>
      </w:pPr>
      <w:r>
        <w:t xml:space="preserve">Integrated National Education Resource Management Platform.</w:t>
      </w:r>
    </w:p>
    <w:p>
      <w:pPr>
        <w:pStyle w:val="BodyText"/>
      </w:pPr>
      <w:r>
        <w:t xml:space="preserve">Each stage builds upon the same architecture, maximizing the value of earlier investments.</w:t>
      </w:r>
    </w:p>
    <w:p>
      <w:r>
        <w:pict>
          <v:rect style="width:0;height:1.5pt" o:hralign="center" o:hrstd="t" o:hr="t"/>
        </w:pict>
      </w:r>
    </w:p>
    <w:bookmarkEnd w:id="60"/>
    <w:bookmarkEnd w:id="61"/>
    <w:bookmarkStart w:id="62" w:name="sustainability-beyond-external-funding"/>
    <w:p>
      <w:pPr>
        <w:pStyle w:val="Heading1"/>
      </w:pPr>
      <w:r>
        <w:t xml:space="preserve">14.10 Sustainability Beyond External Funding</w:t>
      </w:r>
    </w:p>
    <w:p>
      <w:pPr>
        <w:pStyle w:val="FirstParagraph"/>
      </w:pPr>
      <w:r>
        <w:t xml:space="preserve">Long-term sustainability should not depend solely on development partner financing.</w:t>
      </w:r>
    </w:p>
    <w:p>
      <w:pPr>
        <w:pStyle w:val="BodyText"/>
      </w:pPr>
      <w:r>
        <w:t xml:space="preserve">Key sustainability measures include:</w:t>
      </w:r>
    </w:p>
    <w:p>
      <w:pPr>
        <w:pStyle w:val="Compact"/>
        <w:numPr>
          <w:ilvl w:val="0"/>
          <w:numId w:val="1018"/>
        </w:numPr>
      </w:pPr>
      <w:r>
        <w:t xml:space="preserve">Ministry ownership.</w:t>
      </w:r>
    </w:p>
    <w:p>
      <w:pPr>
        <w:pStyle w:val="Compact"/>
        <w:numPr>
          <w:ilvl w:val="0"/>
          <w:numId w:val="1018"/>
        </w:numPr>
      </w:pPr>
      <w:r>
        <w:t xml:space="preserve">Capacity building.</w:t>
      </w:r>
    </w:p>
    <w:p>
      <w:pPr>
        <w:pStyle w:val="Compact"/>
        <w:numPr>
          <w:ilvl w:val="0"/>
          <w:numId w:val="1018"/>
        </w:numPr>
      </w:pPr>
      <w:r>
        <w:t xml:space="preserve">Local technical expertise.</w:t>
      </w:r>
    </w:p>
    <w:p>
      <w:pPr>
        <w:pStyle w:val="Compact"/>
        <w:numPr>
          <w:ilvl w:val="0"/>
          <w:numId w:val="1018"/>
        </w:numPr>
      </w:pPr>
      <w:r>
        <w:t xml:space="preserve">Comprehensive documentation.</w:t>
      </w:r>
    </w:p>
    <w:p>
      <w:pPr>
        <w:pStyle w:val="Compact"/>
        <w:numPr>
          <w:ilvl w:val="0"/>
          <w:numId w:val="1018"/>
        </w:numPr>
      </w:pPr>
      <w:r>
        <w:t xml:space="preserve">Planned operational budgets.</w:t>
      </w:r>
    </w:p>
    <w:p>
      <w:pPr>
        <w:pStyle w:val="Compact"/>
        <w:numPr>
          <w:ilvl w:val="0"/>
          <w:numId w:val="1018"/>
        </w:numPr>
      </w:pPr>
      <w:r>
        <w:t xml:space="preserve">Periodic technology refresh.</w:t>
      </w:r>
    </w:p>
    <w:p>
      <w:pPr>
        <w:pStyle w:val="Compact"/>
        <w:numPr>
          <w:ilvl w:val="0"/>
          <w:numId w:val="1018"/>
        </w:numPr>
      </w:pPr>
      <w:r>
        <w:t xml:space="preserve">Continuous improvement.</w:t>
      </w:r>
    </w:p>
    <w:p>
      <w:r>
        <w:pict>
          <v:rect style="width:0;height:1.5pt" o:hralign="center" o:hrstd="t" o:hr="t"/>
        </w:pict>
      </w:r>
    </w:p>
    <w:bookmarkEnd w:id="62"/>
    <w:bookmarkStart w:id="63" w:name="expected-economic-benefits"/>
    <w:p>
      <w:pPr>
        <w:pStyle w:val="Heading1"/>
      </w:pPr>
      <w:r>
        <w:t xml:space="preserve">14.11 Expected Economic Benefits</w:t>
      </w:r>
    </w:p>
    <w:p>
      <w:pPr>
        <w:pStyle w:val="FirstParagraph"/>
      </w:pPr>
      <w:r>
        <w:t xml:space="preserve">Over time, the programme is expected to contribute to:</w:t>
      </w:r>
    </w:p>
    <w:p>
      <w:pPr>
        <w:pStyle w:val="Compact"/>
        <w:numPr>
          <w:ilvl w:val="0"/>
          <w:numId w:val="1019"/>
        </w:numPr>
      </w:pPr>
      <w:r>
        <w:t xml:space="preserve">More efficient administrative processes.</w:t>
      </w:r>
    </w:p>
    <w:p>
      <w:pPr>
        <w:pStyle w:val="Compact"/>
        <w:numPr>
          <w:ilvl w:val="0"/>
          <w:numId w:val="1019"/>
        </w:numPr>
      </w:pPr>
      <w:r>
        <w:t xml:space="preserve">Better planning.</w:t>
      </w:r>
    </w:p>
    <w:p>
      <w:pPr>
        <w:pStyle w:val="Compact"/>
        <w:numPr>
          <w:ilvl w:val="0"/>
          <w:numId w:val="1019"/>
        </w:numPr>
      </w:pPr>
      <w:r>
        <w:t xml:space="preserve">Improved operational transparency.</w:t>
      </w:r>
    </w:p>
    <w:p>
      <w:pPr>
        <w:pStyle w:val="Compact"/>
        <w:numPr>
          <w:ilvl w:val="0"/>
          <w:numId w:val="1019"/>
        </w:numPr>
      </w:pPr>
      <w:r>
        <w:t xml:space="preserve">Stronger accountability.</w:t>
      </w:r>
    </w:p>
    <w:p>
      <w:pPr>
        <w:pStyle w:val="Compact"/>
        <w:numPr>
          <w:ilvl w:val="0"/>
          <w:numId w:val="1019"/>
        </w:numPr>
      </w:pPr>
      <w:r>
        <w:t xml:space="preserve">Better stewardship of educational resources.</w:t>
      </w:r>
    </w:p>
    <w:p>
      <w:pPr>
        <w:pStyle w:val="Compact"/>
        <w:numPr>
          <w:ilvl w:val="0"/>
          <w:numId w:val="1019"/>
        </w:numPr>
      </w:pPr>
      <w:r>
        <w:t xml:space="preserve">Improved allocation of learning materials.</w:t>
      </w:r>
    </w:p>
    <w:p>
      <w:pPr>
        <w:pStyle w:val="Compact"/>
        <w:numPr>
          <w:ilvl w:val="0"/>
          <w:numId w:val="1019"/>
        </w:numPr>
      </w:pPr>
      <w:r>
        <w:t xml:space="preserve">Stronger institutional coordination.</w:t>
      </w:r>
    </w:p>
    <w:p>
      <w:pPr>
        <w:pStyle w:val="Compact"/>
        <w:numPr>
          <w:ilvl w:val="0"/>
          <w:numId w:val="1019"/>
        </w:numPr>
      </w:pPr>
      <w:r>
        <w:t xml:space="preserve">Better support for national education planning.</w:t>
      </w:r>
    </w:p>
    <w:p>
      <w:pPr>
        <w:pStyle w:val="FirstParagraph"/>
      </w:pPr>
      <w:r>
        <w:t xml:space="preserve">The scale of these benefits should be assessed through implementation data collected during pilot and rollout phases.</w:t>
      </w:r>
    </w:p>
    <w:p>
      <w:r>
        <w:pict>
          <v:rect style="width:0;height:1.5pt" o:hralign="center" o:hrstd="t" o:hr="t"/>
        </w:pict>
      </w:r>
    </w:p>
    <w:bookmarkEnd w:id="63"/>
    <w:bookmarkStart w:id="64" w:name="strategic-investment-perspective"/>
    <w:p>
      <w:pPr>
        <w:pStyle w:val="Heading1"/>
      </w:pPr>
      <w:r>
        <w:t xml:space="preserve">14.12 Strategic Investment Perspective</w:t>
      </w:r>
    </w:p>
    <w:p>
      <w:pPr>
        <w:pStyle w:val="FirstParagraph"/>
      </w:pPr>
      <w:r>
        <w:t xml:space="preserve">The proposed platform should be viewed not simply as an ICT investment but as national public-sector infrastructure supporting education governance.</w:t>
      </w:r>
    </w:p>
    <w:p>
      <w:pPr>
        <w:pStyle w:val="BodyText"/>
      </w:pPr>
      <w:r>
        <w:t xml:space="preserve">Like roads support transportation and power grids support economic activity, digital management infrastructure supports the effective stewardship of educational resources.</w:t>
      </w:r>
    </w:p>
    <w:p>
      <w:pPr>
        <w:pStyle w:val="BodyText"/>
      </w:pPr>
      <w:r>
        <w:t xml:space="preserve">By establishing a single national platform for textbook and learning resource management, Cameroon can strengthen coordination across administrative levels, improve operational visibility, and create a foundation for future digital transformation initiatives within the education sector.</w:t>
      </w:r>
    </w:p>
    <w:p>
      <w:r>
        <w:pict>
          <v:rect style="width:0;height:1.5pt" o:hralign="center" o:hrstd="t" o:hr="t"/>
        </w:pict>
      </w:r>
    </w:p>
    <w:bookmarkEnd w:id="64"/>
    <w:bookmarkStart w:id="65" w:name="conclusion"/>
    <w:p>
      <w:pPr>
        <w:pStyle w:val="Heading1"/>
      </w:pPr>
      <w:r>
        <w:t xml:space="preserve">14.13 Conclusion</w:t>
      </w:r>
    </w:p>
    <w:p>
      <w:pPr>
        <w:pStyle w:val="FirstParagraph"/>
      </w:pPr>
      <w:r>
        <w:t xml:space="preserve">The financial case for the National Digital Textbook Lifecycle &amp; Learning Resource Management System extends beyond software deployment.</w:t>
      </w:r>
    </w:p>
    <w:p>
      <w:pPr>
        <w:pStyle w:val="BodyText"/>
      </w:pPr>
      <w:r>
        <w:t xml:space="preserve">Its value lies in enabling better management of existing public investments, improving operational efficiency, strengthening accountability, and supporting evidence-based planning.</w:t>
      </w:r>
    </w:p>
    <w:p>
      <w:pPr>
        <w:pStyle w:val="BodyText"/>
      </w:pPr>
      <w:r>
        <w:t xml:space="preserve">Through a phased and sustainable implementation approach, the platform has the potential to become a foundational component of Cameroon’s education management ecosystem, supporting both current textbook programmes and the future management of a broader range of educational resources.</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2026-07-10T12:57:07Z</dcterms:created>
  <dcterms:modified xsi:type="dcterms:W3CDTF">2026-07-10T12:57:07Z</dcterms:modified>
</cp:coreProperties>
</file>

<file path=docProps/custom.xml><?xml version="1.0" encoding="utf-8"?>
<Properties xmlns="http://schemas.openxmlformats.org/officeDocument/2006/custom-properties" xmlns:vt="http://schemas.openxmlformats.org/officeDocument/2006/docPropsVTypes"/>
</file>