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9"/>
    <w:p>
      <w:pPr>
        <w:pStyle w:val="Heading1"/>
      </w:pPr>
      <w:r>
        <w:t xml:space="preserve">CHAPTER 9</w:t>
      </w:r>
    </w:p>
    <w:bookmarkEnd w:id="20"/>
    <w:bookmarkStart w:id="22" w:name="X91d055eb00d9f4717d5710e26591e8c152aded4"/>
    <w:p>
      <w:pPr>
        <w:pStyle w:val="Heading1"/>
      </w:pPr>
      <w:r>
        <w:t xml:space="preserve">STAKEHOLDER ENGAGEMENT, CHANGE MANAGEMENT, TRAINING AND INSTITUTIONAL CAPACITY BUILDING</w:t>
      </w:r>
    </w:p>
    <w:bookmarkStart w:id="21" w:name="introduction"/>
    <w:p>
      <w:pPr>
        <w:pStyle w:val="Heading2"/>
      </w:pPr>
      <w:r>
        <w:t xml:space="preserve">9.1 Introduction</w:t>
      </w:r>
    </w:p>
    <w:p>
      <w:pPr>
        <w:pStyle w:val="FirstParagraph"/>
      </w:pPr>
      <w:r>
        <w:t xml:space="preserve">The successful implementation of a National Digital Textbook Lifecycle &amp; Learning Resource Management System depends not only on technology but also on the people and institutions responsible for managing educational resources.</w:t>
      </w:r>
    </w:p>
    <w:p>
      <w:pPr>
        <w:pStyle w:val="BodyText"/>
      </w:pPr>
      <w:r>
        <w:t xml:space="preserve">A national digital transformation programme affects thousands of users working at different administrative levels, each with distinct responsibilities, capacities, and operational environments.</w:t>
      </w:r>
    </w:p>
    <w:p>
      <w:pPr>
        <w:pStyle w:val="BodyText"/>
      </w:pPr>
      <w:r>
        <w:t xml:space="preserve">The transition from paper-based processes to digital resource management requires structured stakeholder engagement, effective communication, targeted training, continuous technical support, and strong institutional ownership.</w:t>
      </w:r>
    </w:p>
    <w:p>
      <w:pPr>
        <w:pStyle w:val="BodyText"/>
      </w:pPr>
      <w:r>
        <w:t xml:space="preserve">This chapter presents a comprehensive strategy to ensure successful adoption of the proposed platform across Cameroon.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stakeholder-identification"/>
    <w:p>
      <w:pPr>
        <w:pStyle w:val="Heading1"/>
      </w:pPr>
      <w:r>
        <w:t xml:space="preserve">9.2 Stakeholder Identification</w:t>
      </w:r>
    </w:p>
    <w:p>
      <w:pPr>
        <w:pStyle w:val="FirstParagraph"/>
      </w:pPr>
      <w:r>
        <w:t xml:space="preserve">The platform serves multiple categories of stakeholders.</w:t>
      </w:r>
    </w:p>
    <w:bookmarkStart w:id="24" w:name="national-level"/>
    <w:p>
      <w:pPr>
        <w:pStyle w:val="Heading2"/>
      </w:pPr>
      <w:r>
        <w:t xml:space="preserve">National Level</w:t>
      </w:r>
    </w:p>
    <w:p>
      <w:pPr>
        <w:pStyle w:val="Compact"/>
        <w:numPr>
          <w:ilvl w:val="0"/>
          <w:numId w:val="1001"/>
        </w:numPr>
      </w:pPr>
      <w:r>
        <w:t xml:space="preserve">Ministry leadership</w:t>
      </w:r>
    </w:p>
    <w:p>
      <w:pPr>
        <w:pStyle w:val="Compact"/>
        <w:numPr>
          <w:ilvl w:val="0"/>
          <w:numId w:val="1001"/>
        </w:numPr>
      </w:pPr>
      <w:r>
        <w:t xml:space="preserve">Directorates responsible for secondary education</w:t>
      </w:r>
    </w:p>
    <w:p>
      <w:pPr>
        <w:pStyle w:val="Compact"/>
        <w:numPr>
          <w:ilvl w:val="0"/>
          <w:numId w:val="1001"/>
        </w:numPr>
      </w:pPr>
      <w:r>
        <w:t xml:space="preserve">Curriculum specialists</w:t>
      </w:r>
    </w:p>
    <w:p>
      <w:pPr>
        <w:pStyle w:val="Compact"/>
        <w:numPr>
          <w:ilvl w:val="0"/>
          <w:numId w:val="1001"/>
        </w:numPr>
      </w:pPr>
      <w:r>
        <w:t xml:space="preserve">Planning units</w:t>
      </w:r>
    </w:p>
    <w:p>
      <w:pPr>
        <w:pStyle w:val="Compact"/>
        <w:numPr>
          <w:ilvl w:val="0"/>
          <w:numId w:val="1001"/>
        </w:numPr>
      </w:pPr>
      <w:r>
        <w:t xml:space="preserve">Finance units</w:t>
      </w:r>
    </w:p>
    <w:p>
      <w:pPr>
        <w:pStyle w:val="Compact"/>
        <w:numPr>
          <w:ilvl w:val="0"/>
          <w:numId w:val="1001"/>
        </w:numPr>
      </w:pPr>
      <w:r>
        <w:t xml:space="preserve">Procurement units</w:t>
      </w:r>
    </w:p>
    <w:p>
      <w:pPr>
        <w:pStyle w:val="Compact"/>
        <w:numPr>
          <w:ilvl w:val="0"/>
          <w:numId w:val="1001"/>
        </w:numPr>
      </w:pPr>
      <w:r>
        <w:t xml:space="preserve">ICT directorates</w:t>
      </w:r>
    </w:p>
    <w:p>
      <w:pPr>
        <w:pStyle w:val="Compact"/>
        <w:numPr>
          <w:ilvl w:val="0"/>
          <w:numId w:val="1001"/>
        </w:numPr>
      </w:pPr>
      <w:r>
        <w:t xml:space="preserve">National warehouse managers</w:t>
      </w:r>
    </w:p>
    <w:bookmarkStart w:id="23" w:name="primary-responsibilities"/>
    <w:p>
      <w:pPr>
        <w:pStyle w:val="Heading3"/>
      </w:pPr>
      <w:r>
        <w:t xml:space="preserve">Primary Responsibilities</w:t>
      </w:r>
    </w:p>
    <w:p>
      <w:pPr>
        <w:pStyle w:val="Compact"/>
        <w:numPr>
          <w:ilvl w:val="0"/>
          <w:numId w:val="1002"/>
        </w:numPr>
      </w:pPr>
      <w:r>
        <w:t xml:space="preserve">Policy</w:t>
      </w:r>
    </w:p>
    <w:p>
      <w:pPr>
        <w:pStyle w:val="Compact"/>
        <w:numPr>
          <w:ilvl w:val="0"/>
          <w:numId w:val="1002"/>
        </w:numPr>
      </w:pPr>
      <w:r>
        <w:t xml:space="preserve">Strategic planning</w:t>
      </w:r>
    </w:p>
    <w:p>
      <w:pPr>
        <w:pStyle w:val="Compact"/>
        <w:numPr>
          <w:ilvl w:val="0"/>
          <w:numId w:val="1002"/>
        </w:numPr>
      </w:pPr>
      <w:r>
        <w:t xml:space="preserve">Monitoring</w:t>
      </w:r>
    </w:p>
    <w:p>
      <w:pPr>
        <w:pStyle w:val="Compact"/>
        <w:numPr>
          <w:ilvl w:val="0"/>
          <w:numId w:val="1002"/>
        </w:numPr>
      </w:pPr>
      <w:r>
        <w:t xml:space="preserve">Budget oversight</w:t>
      </w:r>
    </w:p>
    <w:p>
      <w:pPr>
        <w:pStyle w:val="Compact"/>
        <w:numPr>
          <w:ilvl w:val="0"/>
          <w:numId w:val="1002"/>
        </w:numPr>
      </w:pPr>
      <w:r>
        <w:t xml:space="preserve">National reporting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regional-level"/>
    <w:p>
      <w:pPr>
        <w:pStyle w:val="Heading2"/>
      </w:pPr>
      <w:r>
        <w:t xml:space="preserve">Regional Level</w:t>
      </w:r>
    </w:p>
    <w:p>
      <w:pPr>
        <w:pStyle w:val="Compact"/>
        <w:numPr>
          <w:ilvl w:val="0"/>
          <w:numId w:val="1003"/>
        </w:numPr>
      </w:pPr>
      <w:r>
        <w:t xml:space="preserve">Regional Delegations</w:t>
      </w:r>
    </w:p>
    <w:p>
      <w:pPr>
        <w:pStyle w:val="Compact"/>
        <w:numPr>
          <w:ilvl w:val="0"/>
          <w:numId w:val="1003"/>
        </w:numPr>
      </w:pPr>
      <w:r>
        <w:t xml:space="preserve">Regional Inspectors</w:t>
      </w:r>
    </w:p>
    <w:p>
      <w:pPr>
        <w:pStyle w:val="Compact"/>
        <w:numPr>
          <w:ilvl w:val="0"/>
          <w:numId w:val="1003"/>
        </w:numPr>
      </w:pPr>
      <w:r>
        <w:t xml:space="preserve">Regional Warehouse Officers</w:t>
      </w:r>
    </w:p>
    <w:p>
      <w:pPr>
        <w:pStyle w:val="Compact"/>
        <w:numPr>
          <w:ilvl w:val="0"/>
          <w:numId w:val="1003"/>
        </w:numPr>
      </w:pPr>
      <w:r>
        <w:t xml:space="preserve">Regional ICT Coordinators</w:t>
      </w:r>
    </w:p>
    <w:bookmarkStart w:id="25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Regional supervision</w:t>
      </w:r>
    </w:p>
    <w:p>
      <w:pPr>
        <w:pStyle w:val="Compact"/>
        <w:numPr>
          <w:ilvl w:val="0"/>
          <w:numId w:val="1004"/>
        </w:numPr>
      </w:pPr>
      <w:r>
        <w:t xml:space="preserve">Distribution coordination</w:t>
      </w:r>
    </w:p>
    <w:p>
      <w:pPr>
        <w:pStyle w:val="Compact"/>
        <w:numPr>
          <w:ilvl w:val="0"/>
          <w:numId w:val="1004"/>
        </w:numPr>
      </w:pPr>
      <w:r>
        <w:t xml:space="preserve">Monitoring implementation</w:t>
      </w:r>
    </w:p>
    <w:p>
      <w:pPr>
        <w:pStyle w:val="Compact"/>
        <w:numPr>
          <w:ilvl w:val="0"/>
          <w:numId w:val="1004"/>
        </w:numPr>
      </w:pPr>
      <w:r>
        <w:t xml:space="preserve">Capacity building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ivisional-level"/>
    <w:p>
      <w:pPr>
        <w:pStyle w:val="Heading2"/>
      </w:pPr>
      <w:r>
        <w:t xml:space="preserve">Divisional Level</w:t>
      </w:r>
    </w:p>
    <w:p>
      <w:pPr>
        <w:pStyle w:val="Compact"/>
        <w:numPr>
          <w:ilvl w:val="0"/>
          <w:numId w:val="1005"/>
        </w:numPr>
      </w:pPr>
      <w:r>
        <w:t xml:space="preserve">Divisional Delegations</w:t>
      </w:r>
    </w:p>
    <w:p>
      <w:pPr>
        <w:pStyle w:val="Compact"/>
        <w:numPr>
          <w:ilvl w:val="0"/>
          <w:numId w:val="1005"/>
        </w:numPr>
      </w:pPr>
      <w:r>
        <w:t xml:space="preserve">Inspectors</w:t>
      </w:r>
    </w:p>
    <w:p>
      <w:pPr>
        <w:pStyle w:val="Compact"/>
        <w:numPr>
          <w:ilvl w:val="0"/>
          <w:numId w:val="1005"/>
        </w:numPr>
      </w:pPr>
      <w:r>
        <w:t xml:space="preserve">Logistics Officers</w:t>
      </w:r>
    </w:p>
    <w:bookmarkStart w:id="27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School supervision</w:t>
      </w:r>
    </w:p>
    <w:p>
      <w:pPr>
        <w:pStyle w:val="Compact"/>
        <w:numPr>
          <w:ilvl w:val="0"/>
          <w:numId w:val="1006"/>
        </w:numPr>
      </w:pPr>
      <w:r>
        <w:t xml:space="preserve">Inventory monitoring</w:t>
      </w:r>
    </w:p>
    <w:p>
      <w:pPr>
        <w:pStyle w:val="Compact"/>
        <w:numPr>
          <w:ilvl w:val="0"/>
          <w:numId w:val="1006"/>
        </w:numPr>
      </w:pPr>
      <w:r>
        <w:t xml:space="preserve">Technical support</w:t>
      </w:r>
    </w:p>
    <w:p>
      <w:pPr>
        <w:pStyle w:val="Compact"/>
        <w:numPr>
          <w:ilvl w:val="0"/>
          <w:numId w:val="1006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chool-level"/>
    <w:p>
      <w:pPr>
        <w:pStyle w:val="Heading2"/>
      </w:pPr>
      <w:r>
        <w:t xml:space="preserve">School Level</w:t>
      </w:r>
    </w:p>
    <w:p>
      <w:pPr>
        <w:pStyle w:val="Compact"/>
        <w:numPr>
          <w:ilvl w:val="0"/>
          <w:numId w:val="1007"/>
        </w:numPr>
      </w:pPr>
      <w:r>
        <w:t xml:space="preserve">Principals</w:t>
      </w:r>
    </w:p>
    <w:p>
      <w:pPr>
        <w:pStyle w:val="Compact"/>
        <w:numPr>
          <w:ilvl w:val="0"/>
          <w:numId w:val="1007"/>
        </w:numPr>
      </w:pPr>
      <w:r>
        <w:t xml:space="preserve">Vice Principals</w:t>
      </w:r>
    </w:p>
    <w:p>
      <w:pPr>
        <w:pStyle w:val="Compact"/>
        <w:numPr>
          <w:ilvl w:val="0"/>
          <w:numId w:val="1007"/>
        </w:numPr>
      </w:pPr>
      <w:r>
        <w:t xml:space="preserve">Storekeepers</w:t>
      </w:r>
    </w:p>
    <w:p>
      <w:pPr>
        <w:pStyle w:val="Compact"/>
        <w:numPr>
          <w:ilvl w:val="0"/>
          <w:numId w:val="1007"/>
        </w:numPr>
      </w:pPr>
      <w:r>
        <w:t xml:space="preserve">Librarians</w:t>
      </w:r>
    </w:p>
    <w:p>
      <w:pPr>
        <w:pStyle w:val="Compact"/>
        <w:numPr>
          <w:ilvl w:val="0"/>
          <w:numId w:val="1007"/>
        </w:numPr>
      </w:pPr>
      <w:r>
        <w:t xml:space="preserve">Heads of Department</w:t>
      </w:r>
    </w:p>
    <w:p>
      <w:pPr>
        <w:pStyle w:val="Compact"/>
        <w:numPr>
          <w:ilvl w:val="0"/>
          <w:numId w:val="1007"/>
        </w:numPr>
      </w:pPr>
      <w:r>
        <w:t xml:space="preserve">Teachers</w:t>
      </w:r>
    </w:p>
    <w:p>
      <w:pPr>
        <w:pStyle w:val="Compact"/>
        <w:numPr>
          <w:ilvl w:val="0"/>
          <w:numId w:val="1007"/>
        </w:numPr>
      </w:pPr>
      <w:r>
        <w:t xml:space="preserve">ICT Teachers (where available)</w:t>
      </w:r>
    </w:p>
    <w:bookmarkStart w:id="29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Receiving textbooks</w:t>
      </w:r>
    </w:p>
    <w:p>
      <w:pPr>
        <w:pStyle w:val="Compact"/>
        <w:numPr>
          <w:ilvl w:val="0"/>
          <w:numId w:val="1008"/>
        </w:numPr>
      </w:pPr>
      <w:r>
        <w:t xml:space="preserve">Inventory management</w:t>
      </w:r>
    </w:p>
    <w:p>
      <w:pPr>
        <w:pStyle w:val="Compact"/>
        <w:numPr>
          <w:ilvl w:val="0"/>
          <w:numId w:val="1008"/>
        </w:numPr>
      </w:pPr>
      <w:r>
        <w:t xml:space="preserve">Distribution</w:t>
      </w:r>
    </w:p>
    <w:p>
      <w:pPr>
        <w:pStyle w:val="Compact"/>
        <w:numPr>
          <w:ilvl w:val="0"/>
          <w:numId w:val="1008"/>
        </w:numPr>
      </w:pPr>
      <w:r>
        <w:t xml:space="preserve">Reporting</w:t>
      </w:r>
    </w:p>
    <w:p>
      <w:pPr>
        <w:pStyle w:val="Compact"/>
        <w:numPr>
          <w:ilvl w:val="0"/>
          <w:numId w:val="1008"/>
        </w:numPr>
      </w:pPr>
      <w:r>
        <w:t xml:space="preserve">Student accountability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63" w:name="operational-challenges"/>
    <w:p>
      <w:pPr>
        <w:pStyle w:val="Heading1"/>
      </w:pPr>
      <w:r>
        <w:t xml:space="preserve">9.3 Operational Challenges</w:t>
      </w:r>
    </w:p>
    <w:bookmarkStart w:id="35" w:name="problem-71"/>
    <w:p>
      <w:pPr>
        <w:pStyle w:val="Heading2"/>
      </w:pPr>
      <w:r>
        <w:t xml:space="preserve">Problem 71</w:t>
      </w:r>
    </w:p>
    <w:bookmarkStart w:id="32" w:name="different-digital-skill-levels"/>
    <w:p>
      <w:pPr>
        <w:pStyle w:val="Heading3"/>
      </w:pPr>
      <w:r>
        <w:t xml:space="preserve">Different Digital Skill Levels</w:t>
      </w:r>
    </w:p>
    <w:p>
      <w:pPr>
        <w:pStyle w:val="FirstParagraph"/>
      </w:pPr>
      <w:r>
        <w:t xml:space="preserve">Not all schools possess the same level of digital literacy.</w:t>
      </w:r>
    </w:p>
    <w:bookmarkEnd w:id="32"/>
    <w:bookmarkStart w:id="33" w:name="impact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09"/>
        </w:numPr>
      </w:pPr>
      <w:r>
        <w:t xml:space="preserve">Slow adoption.</w:t>
      </w:r>
    </w:p>
    <w:p>
      <w:pPr>
        <w:pStyle w:val="Compact"/>
        <w:numPr>
          <w:ilvl w:val="0"/>
          <w:numId w:val="1009"/>
        </w:numPr>
      </w:pPr>
      <w:r>
        <w:t xml:space="preserve">Data quality issues.</w:t>
      </w:r>
    </w:p>
    <w:p>
      <w:pPr>
        <w:pStyle w:val="Compact"/>
        <w:numPr>
          <w:ilvl w:val="0"/>
          <w:numId w:val="1009"/>
        </w:numPr>
      </w:pPr>
      <w:r>
        <w:t xml:space="preserve">User frustration.</w:t>
      </w:r>
    </w:p>
    <w:bookmarkEnd w:id="33"/>
    <w:bookmarkStart w:id="34" w:name="proposed-solution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Develop role-specific training programmes for each category of user, beginning with foundational digital skills where necessary.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roblem-72"/>
    <w:p>
      <w:pPr>
        <w:pStyle w:val="Heading2"/>
      </w:pPr>
      <w:r>
        <w:t xml:space="preserve">Problem 72</w:t>
      </w:r>
    </w:p>
    <w:bookmarkStart w:id="36" w:name="resistance-to-change"/>
    <w:p>
      <w:pPr>
        <w:pStyle w:val="Heading3"/>
      </w:pPr>
      <w:r>
        <w:t xml:space="preserve">Resistance to Change</w:t>
      </w:r>
    </w:p>
    <w:p>
      <w:pPr>
        <w:pStyle w:val="FirstParagraph"/>
      </w:pPr>
      <w:r>
        <w:t xml:space="preserve">Users may be reluctant to replace familiar paper-based processes.</w:t>
      </w:r>
    </w:p>
    <w:bookmarkEnd w:id="36"/>
    <w:bookmarkStart w:id="37" w:name="proposed-solution-1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Implement structured change management, including communication campaigns, demonstrations, pilot sites, and ongoing engagement.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roblem-73"/>
    <w:p>
      <w:pPr>
        <w:pStyle w:val="Heading2"/>
      </w:pPr>
      <w:r>
        <w:t xml:space="preserve">Problem 73</w:t>
      </w:r>
    </w:p>
    <w:bookmarkStart w:id="39" w:name="limited-technical-support"/>
    <w:p>
      <w:pPr>
        <w:pStyle w:val="Heading3"/>
      </w:pPr>
      <w:r>
        <w:t xml:space="preserve">Limited Technical Support</w:t>
      </w:r>
    </w:p>
    <w:p>
      <w:pPr>
        <w:pStyle w:val="FirstParagraph"/>
      </w:pPr>
      <w:r>
        <w:t xml:space="preserve">Schools in remote areas may have limited access to ICT personnel.</w:t>
      </w:r>
    </w:p>
    <w:bookmarkEnd w:id="39"/>
    <w:bookmarkStart w:id="40" w:name="proposed-solution-2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Establish a multi-tier support model consisting of:</w:t>
      </w:r>
    </w:p>
    <w:p>
      <w:pPr>
        <w:pStyle w:val="Compact"/>
        <w:numPr>
          <w:ilvl w:val="0"/>
          <w:numId w:val="1010"/>
        </w:numPr>
      </w:pPr>
      <w:r>
        <w:t xml:space="preserve">National Helpdesk</w:t>
      </w:r>
    </w:p>
    <w:p>
      <w:pPr>
        <w:pStyle w:val="Compact"/>
        <w:numPr>
          <w:ilvl w:val="0"/>
          <w:numId w:val="1010"/>
        </w:numPr>
      </w:pPr>
      <w:r>
        <w:t xml:space="preserve">Regional Technical Coordinators</w:t>
      </w:r>
    </w:p>
    <w:p>
      <w:pPr>
        <w:pStyle w:val="Compact"/>
        <w:numPr>
          <w:ilvl w:val="0"/>
          <w:numId w:val="1010"/>
        </w:numPr>
      </w:pPr>
      <w:r>
        <w:t xml:space="preserve">Divisional Support Officers</w:t>
      </w:r>
    </w:p>
    <w:p>
      <w:pPr>
        <w:pStyle w:val="Compact"/>
        <w:numPr>
          <w:ilvl w:val="0"/>
          <w:numId w:val="1010"/>
        </w:numPr>
      </w:pPr>
      <w:r>
        <w:t xml:space="preserve">Online knowledge base</w:t>
      </w:r>
    </w:p>
    <w:p>
      <w:pPr>
        <w:pStyle w:val="Compact"/>
        <w:numPr>
          <w:ilvl w:val="0"/>
          <w:numId w:val="1010"/>
        </w:numPr>
      </w:pPr>
      <w:r>
        <w:t xml:space="preserve">Remote support where connectivity permits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oblem-74"/>
    <w:p>
      <w:pPr>
        <w:pStyle w:val="Heading2"/>
      </w:pPr>
      <w:r>
        <w:t xml:space="preserve">Problem 74</w:t>
      </w:r>
    </w:p>
    <w:bookmarkStart w:id="42" w:name="high-staff-turnover"/>
    <w:p>
      <w:pPr>
        <w:pStyle w:val="Heading3"/>
      </w:pPr>
      <w:r>
        <w:t xml:space="preserve">High Staff Turnover</w:t>
      </w:r>
    </w:p>
    <w:p>
      <w:pPr>
        <w:pStyle w:val="FirstParagraph"/>
      </w:pPr>
      <w:r>
        <w:t xml:space="preserve">Transfers, retirements, and new appointments can affect continuity.</w:t>
      </w:r>
    </w:p>
    <w:bookmarkEnd w:id="42"/>
    <w:bookmarkStart w:id="43" w:name="proposed-solution-3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Institutionalize training through standardized manuals, e-learning resources, and annual refresher programmes.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roblem-75"/>
    <w:p>
      <w:pPr>
        <w:pStyle w:val="Heading2"/>
      </w:pPr>
      <w:r>
        <w:t xml:space="preserve">Problem 75</w:t>
      </w:r>
    </w:p>
    <w:bookmarkStart w:id="45" w:name="inconsistent-procedures"/>
    <w:p>
      <w:pPr>
        <w:pStyle w:val="Heading3"/>
      </w:pPr>
      <w:r>
        <w:t xml:space="preserve">Inconsistent Procedures</w:t>
      </w:r>
    </w:p>
    <w:p>
      <w:pPr>
        <w:pStyle w:val="FirstParagraph"/>
      </w:pPr>
      <w:r>
        <w:t xml:space="preserve">Different schools may develop different operating practices.</w:t>
      </w:r>
    </w:p>
    <w:bookmarkEnd w:id="45"/>
    <w:bookmarkStart w:id="46" w:name="proposed-solution-4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Publish National Standard Operating Procedures (SOPs) integrated directly into the platform.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roblem-76"/>
    <w:p>
      <w:pPr>
        <w:pStyle w:val="Heading2"/>
      </w:pPr>
      <w:r>
        <w:t xml:space="preserve">Problem 76</w:t>
      </w:r>
    </w:p>
    <w:bookmarkStart w:id="48" w:name="limited-user-feedback"/>
    <w:p>
      <w:pPr>
        <w:pStyle w:val="Heading3"/>
      </w:pPr>
      <w:r>
        <w:t xml:space="preserve">Limited User Feedback</w:t>
      </w:r>
    </w:p>
    <w:p>
      <w:pPr>
        <w:pStyle w:val="FirstParagraph"/>
      </w:pPr>
      <w:r>
        <w:t xml:space="preserve">Operational improvements may not be communicated effectively.</w:t>
      </w:r>
    </w:p>
    <w:bookmarkEnd w:id="48"/>
    <w:bookmarkStart w:id="49" w:name="proposed-solution-5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Create a structured feedback mechanism allowing users to submit suggestions, report challenges, and request support.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oblem-77"/>
    <w:p>
      <w:pPr>
        <w:pStyle w:val="Heading2"/>
      </w:pPr>
      <w:r>
        <w:t xml:space="preserve">Problem 77</w:t>
      </w:r>
    </w:p>
    <w:bookmarkStart w:id="51" w:name="lack-of-system-ownership"/>
    <w:p>
      <w:pPr>
        <w:pStyle w:val="Heading3"/>
      </w:pPr>
      <w:r>
        <w:t xml:space="preserve">Lack of System Ownership</w:t>
      </w:r>
    </w:p>
    <w:p>
      <w:pPr>
        <w:pStyle w:val="FirstParagraph"/>
      </w:pPr>
      <w:r>
        <w:t xml:space="preserve">Projects sometimes become associated with external partners rather than ministry institutions.</w:t>
      </w:r>
    </w:p>
    <w:bookmarkEnd w:id="51"/>
    <w:bookmarkStart w:id="52" w:name="proposed-solution-6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Ensure ministry ownership through governance structures, designated system administrators, and long-term institutional capacity development.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roblem-78"/>
    <w:p>
      <w:pPr>
        <w:pStyle w:val="Heading2"/>
      </w:pPr>
      <w:r>
        <w:t xml:space="preserve">Problem 78</w:t>
      </w:r>
    </w:p>
    <w:bookmarkStart w:id="54" w:name="limited-awareness-of-responsibilities"/>
    <w:p>
      <w:pPr>
        <w:pStyle w:val="Heading3"/>
      </w:pPr>
      <w:r>
        <w:t xml:space="preserve">Limited Awareness of Responsibilities</w:t>
      </w:r>
    </w:p>
    <w:p>
      <w:pPr>
        <w:pStyle w:val="FirstParagraph"/>
      </w:pPr>
      <w:r>
        <w:t xml:space="preserve">Users may not fully understand their accountability for educational resources.</w:t>
      </w:r>
    </w:p>
    <w:bookmarkEnd w:id="54"/>
    <w:bookmarkStart w:id="55" w:name="proposed-solution-7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Provide role-specific dashboards, responsibilities, and task reminders that reinforce accountability.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problem-79"/>
    <w:p>
      <w:pPr>
        <w:pStyle w:val="Heading2"/>
      </w:pPr>
      <w:r>
        <w:t xml:space="preserve">Problem 79</w:t>
      </w:r>
    </w:p>
    <w:bookmarkStart w:id="57" w:name="limited-monitoring-of-training-outcomes"/>
    <w:p>
      <w:pPr>
        <w:pStyle w:val="Heading3"/>
      </w:pPr>
      <w:r>
        <w:t xml:space="preserve">Limited Monitoring of Training Outcomes</w:t>
      </w:r>
    </w:p>
    <w:p>
      <w:pPr>
        <w:pStyle w:val="FirstParagraph"/>
      </w:pPr>
      <w:r>
        <w:t xml:space="preserve">Training attendance alone does not demonstrate competence.</w:t>
      </w:r>
    </w:p>
    <w:bookmarkEnd w:id="57"/>
    <w:bookmarkStart w:id="58" w:name="proposed-solution-8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Introduce competency assessments, certification, and periodic refresher evaluations.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problem-80"/>
    <w:p>
      <w:pPr>
        <w:pStyle w:val="Heading2"/>
      </w:pPr>
      <w:r>
        <w:t xml:space="preserve">Problem 80</w:t>
      </w:r>
    </w:p>
    <w:bookmarkStart w:id="60" w:name="weak-knowledge-retention"/>
    <w:p>
      <w:pPr>
        <w:pStyle w:val="Heading3"/>
      </w:pPr>
      <w:r>
        <w:t xml:space="preserve">Weak Knowledge Retention</w:t>
      </w:r>
    </w:p>
    <w:p>
      <w:pPr>
        <w:pStyle w:val="FirstParagraph"/>
      </w:pPr>
      <w:r>
        <w:t xml:space="preserve">Training materials may be lost or become outdated.</w:t>
      </w:r>
    </w:p>
    <w:bookmarkEnd w:id="60"/>
    <w:bookmarkStart w:id="61" w:name="proposed-solution-9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Develop a Digital Learning Centre containing:</w:t>
      </w:r>
    </w:p>
    <w:p>
      <w:pPr>
        <w:pStyle w:val="Compact"/>
        <w:numPr>
          <w:ilvl w:val="0"/>
          <w:numId w:val="1011"/>
        </w:numPr>
      </w:pPr>
      <w:r>
        <w:t xml:space="preserve">User manuals</w:t>
      </w:r>
    </w:p>
    <w:p>
      <w:pPr>
        <w:pStyle w:val="Compact"/>
        <w:numPr>
          <w:ilvl w:val="0"/>
          <w:numId w:val="1011"/>
        </w:numPr>
      </w:pPr>
      <w:r>
        <w:t xml:space="preserve">Video tutorials</w:t>
      </w:r>
    </w:p>
    <w:p>
      <w:pPr>
        <w:pStyle w:val="Compact"/>
        <w:numPr>
          <w:ilvl w:val="0"/>
          <w:numId w:val="1011"/>
        </w:numPr>
      </w:pPr>
      <w:r>
        <w:t xml:space="preserve">Frequently Asked Questions</w:t>
      </w:r>
    </w:p>
    <w:p>
      <w:pPr>
        <w:pStyle w:val="Compact"/>
        <w:numPr>
          <w:ilvl w:val="0"/>
          <w:numId w:val="1011"/>
        </w:numPr>
      </w:pPr>
      <w:r>
        <w:t xml:space="preserve">Interactive guides</w:t>
      </w:r>
    </w:p>
    <w:p>
      <w:pPr>
        <w:pStyle w:val="Compact"/>
        <w:numPr>
          <w:ilvl w:val="0"/>
          <w:numId w:val="1011"/>
        </w:numPr>
      </w:pPr>
      <w:r>
        <w:t xml:space="preserve">Standard operating procedures</w:t>
      </w:r>
    </w:p>
    <w:p>
      <w:pPr>
        <w:pStyle w:val="Compact"/>
        <w:numPr>
          <w:ilvl w:val="0"/>
          <w:numId w:val="1011"/>
        </w:numPr>
      </w:pPr>
      <w:r>
        <w:t xml:space="preserve">Release notes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training-strategy"/>
    <w:p>
      <w:pPr>
        <w:pStyle w:val="Heading1"/>
      </w:pPr>
      <w:r>
        <w:t xml:space="preserve">9.4 Training Strategy</w:t>
      </w:r>
    </w:p>
    <w:p>
      <w:pPr>
        <w:pStyle w:val="FirstParagraph"/>
      </w:pPr>
      <w:r>
        <w:t xml:space="preserve">Training will be delivered in four phases:</w:t>
      </w:r>
    </w:p>
    <w:bookmarkStart w:id="64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National Master Trainers</w:t>
      </w:r>
    </w:p>
    <w:p>
      <w:pPr>
        <w:pStyle w:val="BodyText"/>
      </w:pPr>
      <w:r>
        <w:t xml:space="preserve">↓</w:t>
      </w:r>
    </w:p>
    <w:bookmarkEnd w:id="64"/>
    <w:bookmarkStart w:id="65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Regional Trainers</w:t>
      </w:r>
    </w:p>
    <w:p>
      <w:pPr>
        <w:pStyle w:val="BodyText"/>
      </w:pPr>
      <w:r>
        <w:t xml:space="preserve">↓</w:t>
      </w:r>
    </w:p>
    <w:bookmarkEnd w:id="65"/>
    <w:bookmarkStart w:id="66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Divisional Trainers</w:t>
      </w:r>
    </w:p>
    <w:p>
      <w:pPr>
        <w:pStyle w:val="BodyText"/>
      </w:pPr>
      <w:r>
        <w:t xml:space="preserve">↓</w:t>
      </w:r>
    </w:p>
    <w:bookmarkEnd w:id="66"/>
    <w:bookmarkStart w:id="67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School Users</w:t>
      </w:r>
    </w:p>
    <w:p>
      <w:pPr>
        <w:pStyle w:val="BodyText"/>
      </w:pPr>
      <w:r>
        <w:t xml:space="preserve">This cascading model promotes sustainability and national coverage.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hange-management-framework"/>
    <w:p>
      <w:pPr>
        <w:pStyle w:val="Heading1"/>
      </w:pPr>
      <w:r>
        <w:t xml:space="preserve">9.5 Change Management Framework</w:t>
      </w:r>
    </w:p>
    <w:p>
      <w:pPr>
        <w:pStyle w:val="FirstParagraph"/>
      </w:pPr>
      <w:r>
        <w:t xml:space="preserve">The programme will include:</w:t>
      </w:r>
    </w:p>
    <w:p>
      <w:pPr>
        <w:pStyle w:val="Compact"/>
        <w:numPr>
          <w:ilvl w:val="0"/>
          <w:numId w:val="1012"/>
        </w:numPr>
      </w:pPr>
      <w:r>
        <w:t xml:space="preserve">Stakeholder consultations</w:t>
      </w:r>
    </w:p>
    <w:p>
      <w:pPr>
        <w:pStyle w:val="Compact"/>
        <w:numPr>
          <w:ilvl w:val="0"/>
          <w:numId w:val="1012"/>
        </w:numPr>
      </w:pPr>
      <w:r>
        <w:t xml:space="preserve">Awareness campaigns</w:t>
      </w:r>
    </w:p>
    <w:p>
      <w:pPr>
        <w:pStyle w:val="Compact"/>
        <w:numPr>
          <w:ilvl w:val="0"/>
          <w:numId w:val="1012"/>
        </w:numPr>
      </w:pPr>
      <w:r>
        <w:t xml:space="preserve">Leadership engagement</w:t>
      </w:r>
    </w:p>
    <w:p>
      <w:pPr>
        <w:pStyle w:val="Compact"/>
        <w:numPr>
          <w:ilvl w:val="0"/>
          <w:numId w:val="1012"/>
        </w:numPr>
      </w:pPr>
      <w:r>
        <w:t xml:space="preserve">User champions</w:t>
      </w:r>
    </w:p>
    <w:p>
      <w:pPr>
        <w:pStyle w:val="Compact"/>
        <w:numPr>
          <w:ilvl w:val="0"/>
          <w:numId w:val="1012"/>
        </w:numPr>
      </w:pPr>
      <w:r>
        <w:t xml:space="preserve">Continuous communication</w:t>
      </w:r>
    </w:p>
    <w:p>
      <w:pPr>
        <w:pStyle w:val="Compact"/>
        <w:numPr>
          <w:ilvl w:val="0"/>
          <w:numId w:val="1012"/>
        </w:numPr>
      </w:pPr>
      <w:r>
        <w:t xml:space="preserve">Feedback loops</w:t>
      </w:r>
    </w:p>
    <w:p>
      <w:pPr>
        <w:pStyle w:val="Compact"/>
        <w:numPr>
          <w:ilvl w:val="0"/>
          <w:numId w:val="1012"/>
        </w:numPr>
      </w:pPr>
      <w:r>
        <w:t xml:space="preserve">Recognition of good practices</w:t>
      </w:r>
    </w:p>
    <w:p>
      <w:pPr>
        <w:pStyle w:val="Compact"/>
        <w:numPr>
          <w:ilvl w:val="0"/>
          <w:numId w:val="1012"/>
        </w:numPr>
      </w:pPr>
      <w:r>
        <w:t xml:space="preserve">Ongoing technical support</w:t>
      </w:r>
    </w:p>
    <w:p>
      <w:r>
        <w:pict>
          <v:rect style="width:0;height:1.5pt" o:hralign="center" o:hrstd="t" o:hr="t"/>
        </w:pict>
      </w:r>
    </w:p>
    <w:bookmarkEnd w:id="69"/>
    <w:bookmarkStart w:id="70" w:name="institutional-capacity-building"/>
    <w:p>
      <w:pPr>
        <w:pStyle w:val="Heading1"/>
      </w:pPr>
      <w:r>
        <w:t xml:space="preserve">9.6 Institutional Capacity Building</w:t>
      </w:r>
    </w:p>
    <w:p>
      <w:pPr>
        <w:pStyle w:val="FirstParagraph"/>
      </w:pPr>
      <w:r>
        <w:t xml:space="preserve">The project will strengthen institutional capacity through:</w:t>
      </w:r>
    </w:p>
    <w:p>
      <w:pPr>
        <w:pStyle w:val="Compact"/>
        <w:numPr>
          <w:ilvl w:val="0"/>
          <w:numId w:val="1013"/>
        </w:numPr>
      </w:pPr>
      <w:r>
        <w:t xml:space="preserve">ICT skills development</w:t>
      </w:r>
    </w:p>
    <w:p>
      <w:pPr>
        <w:pStyle w:val="Compact"/>
        <w:numPr>
          <w:ilvl w:val="0"/>
          <w:numId w:val="1013"/>
        </w:numPr>
      </w:pPr>
      <w:r>
        <w:t xml:space="preserve">Resource management training</w:t>
      </w:r>
    </w:p>
    <w:p>
      <w:pPr>
        <w:pStyle w:val="Compact"/>
        <w:numPr>
          <w:ilvl w:val="0"/>
          <w:numId w:val="1013"/>
        </w:numPr>
      </w:pPr>
      <w:r>
        <w:t xml:space="preserve">Data management practices</w:t>
      </w:r>
    </w:p>
    <w:p>
      <w:pPr>
        <w:pStyle w:val="Compact"/>
        <w:numPr>
          <w:ilvl w:val="0"/>
          <w:numId w:val="1013"/>
        </w:numPr>
      </w:pPr>
      <w:r>
        <w:t xml:space="preserve">Reporting standards</w:t>
      </w:r>
    </w:p>
    <w:p>
      <w:pPr>
        <w:pStyle w:val="Compact"/>
        <w:numPr>
          <w:ilvl w:val="0"/>
          <w:numId w:val="1013"/>
        </w:numPr>
      </w:pPr>
      <w:r>
        <w:t xml:space="preserve">Inspection procedures</w:t>
      </w:r>
    </w:p>
    <w:p>
      <w:pPr>
        <w:pStyle w:val="Compact"/>
        <w:numPr>
          <w:ilvl w:val="0"/>
          <w:numId w:val="1013"/>
        </w:numPr>
      </w:pPr>
      <w:r>
        <w:t xml:space="preserve">Digital governance</w:t>
      </w:r>
    </w:p>
    <w:p>
      <w:r>
        <w:pict>
          <v:rect style="width:0;height:1.5pt" o:hralign="center" o:hrstd="t" o:hr="t"/>
        </w:pict>
      </w:r>
    </w:p>
    <w:bookmarkEnd w:id="70"/>
    <w:bookmarkStart w:id="71" w:name="proposed-modules"/>
    <w:p>
      <w:pPr>
        <w:pStyle w:val="Heading1"/>
      </w:pPr>
      <w:r>
        <w:t xml:space="preserve">9.7 Proposed Modules</w:t>
      </w:r>
    </w:p>
    <w:p>
      <w:pPr>
        <w:pStyle w:val="FirstParagraph"/>
      </w:pPr>
      <w:r>
        <w:t xml:space="preserve">The platform will include:</w:t>
      </w:r>
    </w:p>
    <w:p>
      <w:pPr>
        <w:pStyle w:val="Compact"/>
        <w:numPr>
          <w:ilvl w:val="0"/>
          <w:numId w:val="1014"/>
        </w:numPr>
      </w:pPr>
      <w:r>
        <w:t xml:space="preserve">Learning Management Portal for users</w:t>
      </w:r>
    </w:p>
    <w:p>
      <w:pPr>
        <w:pStyle w:val="Compact"/>
        <w:numPr>
          <w:ilvl w:val="0"/>
          <w:numId w:val="1014"/>
        </w:numPr>
      </w:pPr>
      <w:r>
        <w:t xml:space="preserve">Digital Helpdesk</w:t>
      </w:r>
    </w:p>
    <w:p>
      <w:pPr>
        <w:pStyle w:val="Compact"/>
        <w:numPr>
          <w:ilvl w:val="0"/>
          <w:numId w:val="1014"/>
        </w:numPr>
      </w:pPr>
      <w:r>
        <w:t xml:space="preserve">Knowledge Base</w:t>
      </w:r>
    </w:p>
    <w:p>
      <w:pPr>
        <w:pStyle w:val="Compact"/>
        <w:numPr>
          <w:ilvl w:val="0"/>
          <w:numId w:val="1014"/>
        </w:numPr>
      </w:pPr>
      <w:r>
        <w:t xml:space="preserve">Feedback Management System</w:t>
      </w:r>
    </w:p>
    <w:p>
      <w:pPr>
        <w:pStyle w:val="Compact"/>
        <w:numPr>
          <w:ilvl w:val="0"/>
          <w:numId w:val="1014"/>
        </w:numPr>
      </w:pPr>
      <w:r>
        <w:t xml:space="preserve">Training Management Module</w:t>
      </w:r>
    </w:p>
    <w:p>
      <w:pPr>
        <w:pStyle w:val="Compact"/>
        <w:numPr>
          <w:ilvl w:val="0"/>
          <w:numId w:val="1014"/>
        </w:numPr>
      </w:pPr>
      <w:r>
        <w:t xml:space="preserve">User Certification Module</w:t>
      </w:r>
    </w:p>
    <w:p>
      <w:pPr>
        <w:pStyle w:val="Compact"/>
        <w:numPr>
          <w:ilvl w:val="0"/>
          <w:numId w:val="1014"/>
        </w:numPr>
      </w:pPr>
      <w:r>
        <w:t xml:space="preserve">Communication Centre</w:t>
      </w:r>
    </w:p>
    <w:p>
      <w:r>
        <w:pict>
          <v:rect style="width:0;height:1.5pt" o:hralign="center" o:hrstd="t" o:hr="t"/>
        </w:pict>
      </w:r>
    </w:p>
    <w:bookmarkEnd w:id="71"/>
    <w:bookmarkStart w:id="72" w:name="expected-outcomes"/>
    <w:p>
      <w:pPr>
        <w:pStyle w:val="Heading1"/>
      </w:pPr>
      <w:r>
        <w:t xml:space="preserve">9.8 Expected Outcomes</w:t>
      </w:r>
    </w:p>
    <w:p>
      <w:pPr>
        <w:pStyle w:val="FirstParagraph"/>
      </w:pPr>
      <w:r>
        <w:t xml:space="preserve">The proposed approach is expected to:</w:t>
      </w:r>
    </w:p>
    <w:p>
      <w:pPr>
        <w:pStyle w:val="Compact"/>
        <w:numPr>
          <w:ilvl w:val="0"/>
          <w:numId w:val="1015"/>
        </w:numPr>
      </w:pPr>
      <w:r>
        <w:t xml:space="preserve">Improve user confidence.</w:t>
      </w:r>
    </w:p>
    <w:p>
      <w:pPr>
        <w:pStyle w:val="Compact"/>
        <w:numPr>
          <w:ilvl w:val="0"/>
          <w:numId w:val="1015"/>
        </w:numPr>
      </w:pPr>
      <w:r>
        <w:t xml:space="preserve">Increase system adoption.</w:t>
      </w:r>
    </w:p>
    <w:p>
      <w:pPr>
        <w:pStyle w:val="Compact"/>
        <w:numPr>
          <w:ilvl w:val="0"/>
          <w:numId w:val="1015"/>
        </w:numPr>
      </w:pPr>
      <w:r>
        <w:t xml:space="preserve">Enhance data quality.</w:t>
      </w:r>
    </w:p>
    <w:p>
      <w:pPr>
        <w:pStyle w:val="Compact"/>
        <w:numPr>
          <w:ilvl w:val="0"/>
          <w:numId w:val="1015"/>
        </w:numPr>
      </w:pPr>
      <w:r>
        <w:t xml:space="preserve">Strengthen institutional ownership.</w:t>
      </w:r>
    </w:p>
    <w:p>
      <w:pPr>
        <w:pStyle w:val="Compact"/>
        <w:numPr>
          <w:ilvl w:val="0"/>
          <w:numId w:val="1015"/>
        </w:numPr>
      </w:pPr>
      <w:r>
        <w:t xml:space="preserve">Improve consistency of operations.</w:t>
      </w:r>
    </w:p>
    <w:p>
      <w:pPr>
        <w:pStyle w:val="Compact"/>
        <w:numPr>
          <w:ilvl w:val="0"/>
          <w:numId w:val="1015"/>
        </w:numPr>
      </w:pPr>
      <w:r>
        <w:t xml:space="preserve">Reduce dependence on external support.</w:t>
      </w:r>
    </w:p>
    <w:p>
      <w:pPr>
        <w:pStyle w:val="Compact"/>
        <w:numPr>
          <w:ilvl w:val="0"/>
          <w:numId w:val="1015"/>
        </w:numPr>
      </w:pPr>
      <w:r>
        <w:t xml:space="preserve">Build long-term national capacity.</w:t>
      </w:r>
    </w:p>
    <w:p>
      <w:r>
        <w:pict>
          <v:rect style="width:0;height:1.5pt" o:hralign="center" o:hrstd="t" o:hr="t"/>
        </w:pict>
      </w:r>
    </w:p>
    <w:bookmarkEnd w:id="72"/>
    <w:bookmarkStart w:id="73" w:name="key-performance-indicators"/>
    <w:p>
      <w:pPr>
        <w:pStyle w:val="Heading1"/>
      </w:pPr>
      <w:r>
        <w:t xml:space="preserve">9.9 Key Performance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6"/>
        </w:numPr>
      </w:pPr>
      <w:r>
        <w:t xml:space="preserve">Percentage of users trained.</w:t>
      </w:r>
    </w:p>
    <w:p>
      <w:pPr>
        <w:pStyle w:val="Compact"/>
        <w:numPr>
          <w:ilvl w:val="0"/>
          <w:numId w:val="1016"/>
        </w:numPr>
      </w:pPr>
      <w:r>
        <w:t xml:space="preserve">User competency assessment scores.</w:t>
      </w:r>
    </w:p>
    <w:p>
      <w:pPr>
        <w:pStyle w:val="Compact"/>
        <w:numPr>
          <w:ilvl w:val="0"/>
          <w:numId w:val="1016"/>
        </w:numPr>
      </w:pPr>
      <w:r>
        <w:t xml:space="preserve">Helpdesk response times.</w:t>
      </w:r>
    </w:p>
    <w:p>
      <w:pPr>
        <w:pStyle w:val="Compact"/>
        <w:numPr>
          <w:ilvl w:val="0"/>
          <w:numId w:val="1016"/>
        </w:numPr>
      </w:pPr>
      <w:r>
        <w:t xml:space="preserve">User satisfaction levels.</w:t>
      </w:r>
    </w:p>
    <w:p>
      <w:pPr>
        <w:pStyle w:val="Compact"/>
        <w:numPr>
          <w:ilvl w:val="0"/>
          <w:numId w:val="1016"/>
        </w:numPr>
      </w:pPr>
      <w:r>
        <w:t xml:space="preserve">Training completion rates.</w:t>
      </w:r>
    </w:p>
    <w:p>
      <w:pPr>
        <w:pStyle w:val="Compact"/>
        <w:numPr>
          <w:ilvl w:val="0"/>
          <w:numId w:val="1016"/>
        </w:numPr>
      </w:pPr>
      <w:r>
        <w:t xml:space="preserve">Number of certified users.</w:t>
      </w:r>
    </w:p>
    <w:p>
      <w:pPr>
        <w:pStyle w:val="Compact"/>
        <w:numPr>
          <w:ilvl w:val="0"/>
          <w:numId w:val="1016"/>
        </w:numPr>
      </w:pPr>
      <w:r>
        <w:t xml:space="preserve">Adoption rates across schools.</w:t>
      </w:r>
    </w:p>
    <w:p>
      <w:pPr>
        <w:pStyle w:val="Compact"/>
        <w:numPr>
          <w:ilvl w:val="0"/>
          <w:numId w:val="1016"/>
        </w:numPr>
      </w:pPr>
      <w:r>
        <w:t xml:space="preserve">Percentage of schools actively using the platform.</w:t>
      </w:r>
    </w:p>
    <w:p>
      <w:r>
        <w:pict>
          <v:rect style="width:0;height:1.5pt" o:hralign="center" o:hrstd="t" o:hr="t"/>
        </w:pict>
      </w:r>
    </w:p>
    <w:bookmarkEnd w:id="73"/>
    <w:bookmarkStart w:id="74" w:name="transition-to-technical-architecture"/>
    <w:p>
      <w:pPr>
        <w:pStyle w:val="Heading1"/>
      </w:pPr>
      <w:r>
        <w:t xml:space="preserve">9.10 Transition to Technical Architecture</w:t>
      </w:r>
    </w:p>
    <w:p>
      <w:pPr>
        <w:pStyle w:val="FirstParagraph"/>
      </w:pPr>
      <w:r>
        <w:t xml:space="preserve">People and processes define what the platform must achieve. The next chapter translates these operational requirements into a technical architecture, describing how the National Digital Textbook Lifecycle &amp; Learning Resource Management System will be designed to operate securely, reliably, and efficiently across schools, regional offices, and the Ministry while supporting both connected and low-connectivity environments.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2026-07-10T12:54:20Z</dcterms:created>
  <dcterms:modified xsi:type="dcterms:W3CDTF">2026-07-10T12:54:20Z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