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13"/>
    <w:p>
      <w:pPr>
        <w:pStyle w:val="Heading1"/>
      </w:pPr>
      <w:r>
        <w:t xml:space="preserve">CHAPTER 13</w:t>
      </w:r>
    </w:p>
    <w:bookmarkEnd w:id="20"/>
    <w:bookmarkStart w:id="22" w:name="X7a969b0f2272994621975cda4d44d6dc4c3b86f"/>
    <w:p>
      <w:pPr>
        <w:pStyle w:val="Heading1"/>
      </w:pPr>
      <w:r>
        <w:t xml:space="preserve">MONITORING, EVALUATION, RESULTS FRAMEWORK AND PERFORMANCE MEASUREMENT</w:t>
      </w:r>
    </w:p>
    <w:bookmarkStart w:id="21" w:name="introduction"/>
    <w:p>
      <w:pPr>
        <w:pStyle w:val="Heading2"/>
      </w:pPr>
      <w:r>
        <w:t xml:space="preserve">13.1 Introduction</w:t>
      </w:r>
    </w:p>
    <w:p>
      <w:pPr>
        <w:pStyle w:val="FirstParagraph"/>
      </w:pPr>
      <w:r>
        <w:t xml:space="preserve">The success of a National Digital Textbook Lifecycle &amp; Learning Resource Management System cannot be measured solely by the number of computers installed, software licences deployed, or users trained. The true measure of success is the extent to which the platform improves transparency, accountability, operational efficiency, equitable access to learning resources, and evidence-based decision-making throughout Cameroon’s education system.</w:t>
      </w:r>
    </w:p>
    <w:p>
      <w:pPr>
        <w:pStyle w:val="BodyText"/>
      </w:pPr>
      <w:r>
        <w:t xml:space="preserve">Monitoring and Evaluation (M&amp;E) therefore becomes an integral component of the programme rather than a post-implementation activity.</w:t>
      </w:r>
    </w:p>
    <w:p>
      <w:pPr>
        <w:pStyle w:val="BodyText"/>
      </w:pPr>
      <w:r>
        <w:t xml:space="preserve">This chapter establishes a comprehensive results framework that enables the Ministry of Secondary Education, development partners, oversight institutions, and other stakeholders to monitor implementation progress, evaluate programme outcomes, identify implementation risks, and guide continuous improvement.</w:t>
      </w:r>
    </w:p>
    <w:p>
      <w:pPr>
        <w:pStyle w:val="BodyText"/>
      </w:pPr>
      <w:r>
        <w:t xml:space="preserve">The framework combines operational indicators, institutional indicators, financial indicators, service delivery indicators, and long-term impact indicators.</w:t>
      </w:r>
    </w:p>
    <w:p>
      <w:r>
        <w:pict>
          <v:rect style="width:0;height:1.5pt" o:hralign="center" o:hrstd="t" o:hr="t"/>
        </w:pict>
      </w:r>
    </w:p>
    <w:bookmarkEnd w:id="21"/>
    <w:bookmarkEnd w:id="22"/>
    <w:bookmarkStart w:id="23" w:name="X025e7b59d884fd94db7aaad497643e106cee321"/>
    <w:p>
      <w:pPr>
        <w:pStyle w:val="Heading1"/>
      </w:pPr>
      <w:r>
        <w:t xml:space="preserve">13.2 Purpose of the Monitoring and Evaluation Framework</w:t>
      </w:r>
    </w:p>
    <w:p>
      <w:pPr>
        <w:pStyle w:val="FirstParagraph"/>
      </w:pPr>
      <w:r>
        <w:t xml:space="preserve">The framework seeks to:</w:t>
      </w:r>
    </w:p>
    <w:p>
      <w:pPr>
        <w:pStyle w:val="Compact"/>
        <w:numPr>
          <w:ilvl w:val="0"/>
          <w:numId w:val="1001"/>
        </w:numPr>
      </w:pPr>
      <w:r>
        <w:t xml:space="preserve">Monitor implementation progress.</w:t>
      </w:r>
    </w:p>
    <w:p>
      <w:pPr>
        <w:pStyle w:val="Compact"/>
        <w:numPr>
          <w:ilvl w:val="0"/>
          <w:numId w:val="1001"/>
        </w:numPr>
      </w:pPr>
      <w:r>
        <w:t xml:space="preserve">Measure operational performance.</w:t>
      </w:r>
    </w:p>
    <w:p>
      <w:pPr>
        <w:pStyle w:val="Compact"/>
        <w:numPr>
          <w:ilvl w:val="0"/>
          <w:numId w:val="1001"/>
        </w:numPr>
      </w:pPr>
      <w:r>
        <w:t xml:space="preserve">Evaluate programme outcomes.</w:t>
      </w:r>
    </w:p>
    <w:p>
      <w:pPr>
        <w:pStyle w:val="Compact"/>
        <w:numPr>
          <w:ilvl w:val="0"/>
          <w:numId w:val="1001"/>
        </w:numPr>
      </w:pPr>
      <w:r>
        <w:t xml:space="preserve">Improve accountability.</w:t>
      </w:r>
    </w:p>
    <w:p>
      <w:pPr>
        <w:pStyle w:val="Compact"/>
        <w:numPr>
          <w:ilvl w:val="0"/>
          <w:numId w:val="1001"/>
        </w:numPr>
      </w:pPr>
      <w:r>
        <w:t xml:space="preserve">Support strategic planning.</w:t>
      </w:r>
    </w:p>
    <w:p>
      <w:pPr>
        <w:pStyle w:val="Compact"/>
        <w:numPr>
          <w:ilvl w:val="0"/>
          <w:numId w:val="1001"/>
        </w:numPr>
      </w:pPr>
      <w:r>
        <w:t xml:space="preserve">Strengthen evidence-based decision-making.</w:t>
      </w:r>
    </w:p>
    <w:p>
      <w:pPr>
        <w:pStyle w:val="Compact"/>
        <w:numPr>
          <w:ilvl w:val="0"/>
          <w:numId w:val="1001"/>
        </w:numPr>
      </w:pPr>
      <w:r>
        <w:t xml:space="preserve">Demonstrate value for public investment.</w:t>
      </w:r>
    </w:p>
    <w:p>
      <w:pPr>
        <w:pStyle w:val="Compact"/>
        <w:numPr>
          <w:ilvl w:val="0"/>
          <w:numId w:val="1001"/>
        </w:numPr>
      </w:pPr>
      <w:r>
        <w:t xml:space="preserve">Support future policy development.</w:t>
      </w:r>
    </w:p>
    <w:p>
      <w:r>
        <w:pict>
          <v:rect style="width:0;height:1.5pt" o:hralign="center" o:hrstd="t" o:hr="t"/>
        </w:pict>
      </w:r>
    </w:p>
    <w:bookmarkEnd w:id="23"/>
    <w:bookmarkStart w:id="24" w:name="theory-of-change"/>
    <w:p>
      <w:pPr>
        <w:pStyle w:val="Heading1"/>
      </w:pPr>
      <w:r>
        <w:t xml:space="preserve">13.3 Theory of Change</w:t>
      </w:r>
    </w:p>
    <w:p>
      <w:pPr>
        <w:pStyle w:val="FirstParagraph"/>
      </w:pPr>
      <w:r>
        <w:t xml:space="preserve">The programme is built on the following theory of change.</w:t>
      </w:r>
    </w:p>
    <w:p>
      <w:pPr>
        <w:pStyle w:val="BodyText"/>
      </w:pPr>
      <w:r>
        <w:t xml:space="preserve">If Cameroon establishes a secure digital platform capable of tracking textbooks and learning resources throughout their lifecycle, while strengthening accountability, inventory management, reporting, inspection, and decision support, then educational resources will be distributed more efficiently, public investment will be better protected, operational transparency will improve, and learners will have more reliable access to quality learning materials.</w:t>
      </w:r>
    </w:p>
    <w:p>
      <w:r>
        <w:pict>
          <v:rect style="width:0;height:1.5pt" o:hralign="center" o:hrstd="t" o:hr="t"/>
        </w:pict>
      </w:r>
    </w:p>
    <w:bookmarkEnd w:id="24"/>
    <w:bookmarkStart w:id="25" w:name="results-chain"/>
    <w:p>
      <w:pPr>
        <w:pStyle w:val="Heading1"/>
      </w:pPr>
      <w:r>
        <w:t xml:space="preserve">13.4 Results Chain</w:t>
      </w:r>
    </w:p>
    <w:p>
      <w:pPr>
        <w:pStyle w:val="SourceCode"/>
      </w:pPr>
      <w:r>
        <w:rPr>
          <w:rStyle w:val="VerbatimChar"/>
        </w:rPr>
        <w:t xml:space="preserve">INPUTS</w:t>
      </w:r>
      <w:r>
        <w:br/>
      </w:r>
      <w:r>
        <w:rPr>
          <w:rStyle w:val="VerbatimChar"/>
        </w:rPr>
        <w:t xml:space="preserve">↓</w:t>
      </w:r>
      <w:r>
        <w:br/>
      </w:r>
      <w:r>
        <w:br/>
      </w:r>
      <w:r>
        <w:rPr>
          <w:rStyle w:val="VerbatimChar"/>
        </w:rPr>
        <w:t xml:space="preserve">Digital Platform</w:t>
      </w:r>
      <w:r>
        <w:br/>
      </w:r>
      <w:r>
        <w:rPr>
          <w:rStyle w:val="VerbatimChar"/>
        </w:rPr>
        <w:t xml:space="preserve">Funding</w:t>
      </w:r>
      <w:r>
        <w:br/>
      </w:r>
      <w:r>
        <w:rPr>
          <w:rStyle w:val="VerbatimChar"/>
        </w:rPr>
        <w:t xml:space="preserve">Training</w:t>
      </w:r>
      <w:r>
        <w:br/>
      </w:r>
      <w:r>
        <w:rPr>
          <w:rStyle w:val="VerbatimChar"/>
        </w:rPr>
        <w:t xml:space="preserve">Infrastructure</w:t>
      </w:r>
      <w:r>
        <w:br/>
      </w:r>
      <w:r>
        <w:rPr>
          <w:rStyle w:val="VerbatimChar"/>
        </w:rPr>
        <w:t xml:space="preserve">Technical Support</w:t>
      </w:r>
      <w:r>
        <w:br/>
      </w:r>
      <w:r>
        <w:rPr>
          <w:rStyle w:val="VerbatimChar"/>
        </w:rPr>
        <w:t xml:space="preserve">Government Leadership</w:t>
      </w:r>
      <w:r>
        <w:br/>
      </w:r>
      <w:r>
        <w:br/>
      </w:r>
      <w:r>
        <w:rPr>
          <w:rStyle w:val="VerbatimChar"/>
        </w:rPr>
        <w:t xml:space="preserve">↓</w:t>
      </w:r>
      <w:r>
        <w:br/>
      </w:r>
      <w:r>
        <w:br/>
      </w:r>
      <w:r>
        <w:rPr>
          <w:rStyle w:val="VerbatimChar"/>
        </w:rPr>
        <w:t xml:space="preserve">ACTIVITIES</w:t>
      </w:r>
      <w:r>
        <w:br/>
      </w:r>
      <w:r>
        <w:br/>
      </w:r>
      <w:r>
        <w:rPr>
          <w:rStyle w:val="VerbatimChar"/>
        </w:rPr>
        <w:t xml:space="preserve">Digitize textbook management</w:t>
      </w:r>
      <w:r>
        <w:br/>
      </w:r>
      <w:r>
        <w:rPr>
          <w:rStyle w:val="VerbatimChar"/>
        </w:rPr>
        <w:t xml:space="preserve">Deploy schools</w:t>
      </w:r>
      <w:r>
        <w:br/>
      </w:r>
      <w:r>
        <w:rPr>
          <w:rStyle w:val="VerbatimChar"/>
        </w:rPr>
        <w:t xml:space="preserve">Train users</w:t>
      </w:r>
      <w:r>
        <w:br/>
      </w:r>
      <w:r>
        <w:rPr>
          <w:rStyle w:val="VerbatimChar"/>
        </w:rPr>
        <w:t xml:space="preserve">Track inventory</w:t>
      </w:r>
      <w:r>
        <w:br/>
      </w:r>
      <w:r>
        <w:rPr>
          <w:rStyle w:val="VerbatimChar"/>
        </w:rPr>
        <w:t xml:space="preserve">Monitor distribution</w:t>
      </w:r>
      <w:r>
        <w:br/>
      </w:r>
      <w:r>
        <w:rPr>
          <w:rStyle w:val="VerbatimChar"/>
        </w:rPr>
        <w:t xml:space="preserve">Conduct inspections</w:t>
      </w:r>
      <w:r>
        <w:br/>
      </w:r>
      <w:r>
        <w:br/>
      </w:r>
      <w:r>
        <w:rPr>
          <w:rStyle w:val="VerbatimChar"/>
        </w:rPr>
        <w:t xml:space="preserve">↓</w:t>
      </w:r>
      <w:r>
        <w:br/>
      </w:r>
      <w:r>
        <w:br/>
      </w:r>
      <w:r>
        <w:rPr>
          <w:rStyle w:val="VerbatimChar"/>
        </w:rPr>
        <w:t xml:space="preserve">OUTPUTS</w:t>
      </w:r>
      <w:r>
        <w:br/>
      </w:r>
      <w:r>
        <w:br/>
      </w:r>
      <w:r>
        <w:rPr>
          <w:rStyle w:val="VerbatimChar"/>
        </w:rPr>
        <w:t xml:space="preserve">Schools using the platform</w:t>
      </w:r>
      <w:r>
        <w:br/>
      </w:r>
      <w:r>
        <w:rPr>
          <w:rStyle w:val="VerbatimChar"/>
        </w:rPr>
        <w:t xml:space="preserve">Digital inventories</w:t>
      </w:r>
      <w:r>
        <w:br/>
      </w:r>
      <w:r>
        <w:rPr>
          <w:rStyle w:val="VerbatimChar"/>
        </w:rPr>
        <w:t xml:space="preserve">Electronic reports</w:t>
      </w:r>
      <w:r>
        <w:br/>
      </w:r>
      <w:r>
        <w:rPr>
          <w:rStyle w:val="VerbatimChar"/>
        </w:rPr>
        <w:t xml:space="preserve">Inspection records</w:t>
      </w:r>
      <w:r>
        <w:br/>
      </w:r>
      <w:r>
        <w:rPr>
          <w:rStyle w:val="VerbatimChar"/>
        </w:rPr>
        <w:t xml:space="preserve">Operational dashboards</w:t>
      </w:r>
      <w:r>
        <w:br/>
      </w:r>
      <w:r>
        <w:br/>
      </w:r>
      <w:r>
        <w:rPr>
          <w:rStyle w:val="VerbatimChar"/>
        </w:rPr>
        <w:t xml:space="preserve">↓</w:t>
      </w:r>
      <w:r>
        <w:br/>
      </w:r>
      <w:r>
        <w:br/>
      </w:r>
      <w:r>
        <w:rPr>
          <w:rStyle w:val="VerbatimChar"/>
        </w:rPr>
        <w:t xml:space="preserve">OUTCOMES</w:t>
      </w:r>
      <w:r>
        <w:br/>
      </w:r>
      <w:r>
        <w:br/>
      </w:r>
      <w:r>
        <w:rPr>
          <w:rStyle w:val="VerbatimChar"/>
        </w:rPr>
        <w:t xml:space="preserve">Improved accountability</w:t>
      </w:r>
      <w:r>
        <w:br/>
      </w:r>
      <w:r>
        <w:rPr>
          <w:rStyle w:val="VerbatimChar"/>
        </w:rPr>
        <w:t xml:space="preserve">Better inventory accuracy</w:t>
      </w:r>
      <w:r>
        <w:br/>
      </w:r>
      <w:r>
        <w:rPr>
          <w:rStyle w:val="VerbatimChar"/>
        </w:rPr>
        <w:t xml:space="preserve">Reduced administrative workload</w:t>
      </w:r>
      <w:r>
        <w:br/>
      </w:r>
      <w:r>
        <w:rPr>
          <w:rStyle w:val="VerbatimChar"/>
        </w:rPr>
        <w:t xml:space="preserve">Improved reporting</w:t>
      </w:r>
      <w:r>
        <w:br/>
      </w:r>
      <w:r>
        <w:rPr>
          <w:rStyle w:val="VerbatimChar"/>
        </w:rPr>
        <w:t xml:space="preserve">Better planning</w:t>
      </w:r>
      <w:r>
        <w:br/>
      </w:r>
      <w:r>
        <w:br/>
      </w:r>
      <w:r>
        <w:rPr>
          <w:rStyle w:val="VerbatimChar"/>
        </w:rPr>
        <w:t xml:space="preserve">↓</w:t>
      </w:r>
      <w:r>
        <w:br/>
      </w:r>
      <w:r>
        <w:br/>
      </w:r>
      <w:r>
        <w:rPr>
          <w:rStyle w:val="VerbatimChar"/>
        </w:rPr>
        <w:t xml:space="preserve">IMPACT</w:t>
      </w:r>
      <w:r>
        <w:br/>
      </w:r>
      <w:r>
        <w:br/>
      </w:r>
      <w:r>
        <w:rPr>
          <w:rStyle w:val="VerbatimChar"/>
        </w:rPr>
        <w:t xml:space="preserve">Improved management of educational resources</w:t>
      </w:r>
      <w:r>
        <w:br/>
      </w:r>
      <w:r>
        <w:rPr>
          <w:rStyle w:val="VerbatimChar"/>
        </w:rPr>
        <w:t xml:space="preserve">Better learning environments</w:t>
      </w:r>
      <w:r>
        <w:br/>
      </w:r>
      <w:r>
        <w:rPr>
          <w:rStyle w:val="VerbatimChar"/>
        </w:rPr>
        <w:t xml:space="preserve">Stronger public confidence</w:t>
      </w:r>
      <w:r>
        <w:br/>
      </w:r>
      <w:r>
        <w:rPr>
          <w:rStyle w:val="VerbatimChar"/>
        </w:rPr>
        <w:t xml:space="preserve">More efficient use of public resources</w:t>
      </w:r>
    </w:p>
    <w:p>
      <w:r>
        <w:pict>
          <v:rect style="width:0;height:1.5pt" o:hralign="center" o:hrstd="t" o:hr="t"/>
        </w:pict>
      </w:r>
    </w:p>
    <w:bookmarkEnd w:id="25"/>
    <w:bookmarkStart w:id="26" w:name="strategic-objectives"/>
    <w:p>
      <w:pPr>
        <w:pStyle w:val="Heading1"/>
      </w:pPr>
      <w:r>
        <w:t xml:space="preserve">13.5 Strategic Objectives</w:t>
      </w:r>
    </w:p>
    <w:p>
      <w:pPr>
        <w:pStyle w:val="FirstParagraph"/>
      </w:pPr>
      <w:r>
        <w:t xml:space="preserve">Objective 1</w:t>
      </w:r>
    </w:p>
    <w:p>
      <w:pPr>
        <w:pStyle w:val="BodyText"/>
      </w:pPr>
      <w:r>
        <w:t xml:space="preserve">Strengthen accountability throughout the textbook lifecycle.</w:t>
      </w:r>
    </w:p>
    <w:p>
      <w:pPr>
        <w:pStyle w:val="BodyText"/>
      </w:pPr>
      <w:r>
        <w:t xml:space="preserve">Objective 2</w:t>
      </w:r>
    </w:p>
    <w:p>
      <w:pPr>
        <w:pStyle w:val="BodyText"/>
      </w:pPr>
      <w:r>
        <w:t xml:space="preserve">Improve transparency in resource allocation and utilization.</w:t>
      </w:r>
    </w:p>
    <w:p>
      <w:pPr>
        <w:pStyle w:val="BodyText"/>
      </w:pPr>
      <w:r>
        <w:t xml:space="preserve">Objective 3</w:t>
      </w:r>
    </w:p>
    <w:p>
      <w:pPr>
        <w:pStyle w:val="BodyText"/>
      </w:pPr>
      <w:r>
        <w:t xml:space="preserve">Modernize inventory management at every administrative level.</w:t>
      </w:r>
    </w:p>
    <w:p>
      <w:pPr>
        <w:pStyle w:val="BodyText"/>
      </w:pPr>
      <w:r>
        <w:t xml:space="preserve">Objective 4</w:t>
      </w:r>
    </w:p>
    <w:p>
      <w:pPr>
        <w:pStyle w:val="BodyText"/>
      </w:pPr>
      <w:r>
        <w:t xml:space="preserve">Improve planning through reliable operational information.</w:t>
      </w:r>
    </w:p>
    <w:p>
      <w:pPr>
        <w:pStyle w:val="BodyText"/>
      </w:pPr>
      <w:r>
        <w:t xml:space="preserve">Objective 5</w:t>
      </w:r>
    </w:p>
    <w:p>
      <w:pPr>
        <w:pStyle w:val="BodyText"/>
      </w:pPr>
      <w:r>
        <w:t xml:space="preserve">Support timely reporting and operational monitoring.</w:t>
      </w:r>
    </w:p>
    <w:p>
      <w:pPr>
        <w:pStyle w:val="BodyText"/>
      </w:pPr>
      <w:r>
        <w:t xml:space="preserve">Objective 6</w:t>
      </w:r>
    </w:p>
    <w:p>
      <w:pPr>
        <w:pStyle w:val="BodyText"/>
      </w:pPr>
      <w:r>
        <w:t xml:space="preserve">Strengthen inspection and compliance.</w:t>
      </w:r>
    </w:p>
    <w:p>
      <w:pPr>
        <w:pStyle w:val="BodyText"/>
      </w:pPr>
      <w:r>
        <w:t xml:space="preserve">Objective 7</w:t>
      </w:r>
    </w:p>
    <w:p>
      <w:pPr>
        <w:pStyle w:val="BodyText"/>
      </w:pPr>
      <w:r>
        <w:t xml:space="preserve">Improve long-term sustainability of educational resources.</w:t>
      </w:r>
    </w:p>
    <w:p>
      <w:r>
        <w:pict>
          <v:rect style="width:0;height:1.5pt" o:hralign="center" o:hrstd="t" o:hr="t"/>
        </w:pict>
      </w:r>
    </w:p>
    <w:bookmarkEnd w:id="26"/>
    <w:bookmarkStart w:id="33" w:name="key-result-areas"/>
    <w:p>
      <w:pPr>
        <w:pStyle w:val="Heading1"/>
      </w:pPr>
      <w:r>
        <w:t xml:space="preserve">13.6 Key Result Areas</w:t>
      </w:r>
    </w:p>
    <w:bookmarkStart w:id="27" w:name="result-area-1"/>
    <w:p>
      <w:pPr>
        <w:pStyle w:val="Heading2"/>
      </w:pPr>
      <w:r>
        <w:t xml:space="preserve">Result Area 1</w:t>
      </w:r>
    </w:p>
    <w:p>
      <w:pPr>
        <w:pStyle w:val="FirstParagraph"/>
      </w:pPr>
      <w:r>
        <w:t xml:space="preserve">National Visibility</w:t>
      </w:r>
    </w:p>
    <w:p>
      <w:pPr>
        <w:pStyle w:val="BodyText"/>
      </w:pPr>
      <w:r>
        <w:t xml:space="preserve">Expected Result</w:t>
      </w:r>
    </w:p>
    <w:p>
      <w:pPr>
        <w:pStyle w:val="BodyText"/>
      </w:pPr>
      <w:r>
        <w:t xml:space="preserve">Education authorities have accurate and timely information regarding textbook availability across all participating schools.</w:t>
      </w:r>
    </w:p>
    <w:p>
      <w:pPr>
        <w:pStyle w:val="BodyText"/>
      </w:pPr>
      <w:r>
        <w:t xml:space="preserve">Indicators</w:t>
      </w:r>
    </w:p>
    <w:p>
      <w:pPr>
        <w:pStyle w:val="Compact"/>
        <w:numPr>
          <w:ilvl w:val="0"/>
          <w:numId w:val="1002"/>
        </w:numPr>
      </w:pPr>
      <w:r>
        <w:t xml:space="preserve">Percentage of schools reporting digitally.</w:t>
      </w:r>
    </w:p>
    <w:p>
      <w:pPr>
        <w:pStyle w:val="Compact"/>
        <w:numPr>
          <w:ilvl w:val="0"/>
          <w:numId w:val="1002"/>
        </w:numPr>
      </w:pPr>
      <w:r>
        <w:t xml:space="preserve">National inventory completeness.</w:t>
      </w:r>
    </w:p>
    <w:p>
      <w:pPr>
        <w:pStyle w:val="Compact"/>
        <w:numPr>
          <w:ilvl w:val="0"/>
          <w:numId w:val="1002"/>
        </w:numPr>
      </w:pPr>
      <w:r>
        <w:t xml:space="preserve">Reporting timeliness.</w:t>
      </w:r>
    </w:p>
    <w:p>
      <w:r>
        <w:pict>
          <v:rect style="width:0;height:1.5pt" o:hralign="center" o:hrstd="t" o:hr="t"/>
        </w:pict>
      </w:r>
    </w:p>
    <w:bookmarkEnd w:id="27"/>
    <w:bookmarkStart w:id="28" w:name="result-area-2"/>
    <w:p>
      <w:pPr>
        <w:pStyle w:val="Heading2"/>
      </w:pPr>
      <w:r>
        <w:t xml:space="preserve">Result Area 2</w:t>
      </w:r>
    </w:p>
    <w:p>
      <w:pPr>
        <w:pStyle w:val="FirstParagraph"/>
      </w:pPr>
      <w:r>
        <w:t xml:space="preserve">Inventory Accuracy</w:t>
      </w:r>
    </w:p>
    <w:p>
      <w:pPr>
        <w:pStyle w:val="BodyText"/>
      </w:pPr>
      <w:r>
        <w:t xml:space="preserve">Expected Result</w:t>
      </w:r>
    </w:p>
    <w:p>
      <w:pPr>
        <w:pStyle w:val="BodyText"/>
      </w:pPr>
      <w:r>
        <w:t xml:space="preserve">School inventories accurately reflect physical stock.</w:t>
      </w:r>
    </w:p>
    <w:p>
      <w:pPr>
        <w:pStyle w:val="BodyText"/>
      </w:pPr>
      <w:r>
        <w:t xml:space="preserve">Indicators</w:t>
      </w:r>
    </w:p>
    <w:p>
      <w:pPr>
        <w:pStyle w:val="Compact"/>
        <w:numPr>
          <w:ilvl w:val="0"/>
          <w:numId w:val="1003"/>
        </w:numPr>
      </w:pPr>
      <w:r>
        <w:t xml:space="preserve">Inventory reconciliation rate.</w:t>
      </w:r>
    </w:p>
    <w:p>
      <w:pPr>
        <w:pStyle w:val="Compact"/>
        <w:numPr>
          <w:ilvl w:val="0"/>
          <w:numId w:val="1003"/>
        </w:numPr>
      </w:pPr>
      <w:r>
        <w:t xml:space="preserve">Number of unresolved discrepancies.</w:t>
      </w:r>
    </w:p>
    <w:p>
      <w:pPr>
        <w:pStyle w:val="Compact"/>
        <w:numPr>
          <w:ilvl w:val="0"/>
          <w:numId w:val="1003"/>
        </w:numPr>
      </w:pPr>
      <w:r>
        <w:t xml:space="preserve">Inventory verification accuracy.</w:t>
      </w:r>
    </w:p>
    <w:p>
      <w:r>
        <w:pict>
          <v:rect style="width:0;height:1.5pt" o:hralign="center" o:hrstd="t" o:hr="t"/>
        </w:pict>
      </w:r>
    </w:p>
    <w:bookmarkEnd w:id="28"/>
    <w:bookmarkStart w:id="29" w:name="result-area-3"/>
    <w:p>
      <w:pPr>
        <w:pStyle w:val="Heading2"/>
      </w:pPr>
      <w:r>
        <w:t xml:space="preserve">Result Area 3</w:t>
      </w:r>
    </w:p>
    <w:p>
      <w:pPr>
        <w:pStyle w:val="FirstParagraph"/>
      </w:pPr>
      <w:r>
        <w:t xml:space="preserve">Distribution Efficiency</w:t>
      </w:r>
    </w:p>
    <w:p>
      <w:pPr>
        <w:pStyle w:val="BodyText"/>
      </w:pPr>
      <w:r>
        <w:t xml:space="preserve">Expected Result</w:t>
      </w:r>
    </w:p>
    <w:p>
      <w:pPr>
        <w:pStyle w:val="BodyText"/>
      </w:pPr>
      <w:r>
        <w:t xml:space="preserve">Textbooks are delivered to schools according to approved plans.</w:t>
      </w:r>
    </w:p>
    <w:p>
      <w:pPr>
        <w:pStyle w:val="BodyText"/>
      </w:pPr>
      <w:r>
        <w:t xml:space="preserve">Indicators</w:t>
      </w:r>
    </w:p>
    <w:p>
      <w:pPr>
        <w:pStyle w:val="Compact"/>
        <w:numPr>
          <w:ilvl w:val="0"/>
          <w:numId w:val="1004"/>
        </w:numPr>
      </w:pPr>
      <w:r>
        <w:t xml:space="preserve">Delivery completion rate.</w:t>
      </w:r>
    </w:p>
    <w:p>
      <w:pPr>
        <w:pStyle w:val="Compact"/>
        <w:numPr>
          <w:ilvl w:val="0"/>
          <w:numId w:val="1004"/>
        </w:numPr>
      </w:pPr>
      <w:r>
        <w:t xml:space="preserve">Average delivery time.</w:t>
      </w:r>
    </w:p>
    <w:p>
      <w:pPr>
        <w:pStyle w:val="Compact"/>
        <w:numPr>
          <w:ilvl w:val="0"/>
          <w:numId w:val="1004"/>
        </w:numPr>
      </w:pPr>
      <w:r>
        <w:t xml:space="preserve">Percentage of schools receiving complete allocations.</w:t>
      </w:r>
    </w:p>
    <w:p>
      <w:r>
        <w:pict>
          <v:rect style="width:0;height:1.5pt" o:hralign="center" o:hrstd="t" o:hr="t"/>
        </w:pict>
      </w:r>
    </w:p>
    <w:bookmarkEnd w:id="29"/>
    <w:bookmarkStart w:id="30" w:name="result-area-4"/>
    <w:p>
      <w:pPr>
        <w:pStyle w:val="Heading2"/>
      </w:pPr>
      <w:r>
        <w:t xml:space="preserve">Result Area 4</w:t>
      </w:r>
    </w:p>
    <w:p>
      <w:pPr>
        <w:pStyle w:val="FirstParagraph"/>
      </w:pPr>
      <w:r>
        <w:t xml:space="preserve">Operational Accountability</w:t>
      </w:r>
    </w:p>
    <w:p>
      <w:pPr>
        <w:pStyle w:val="BodyText"/>
      </w:pPr>
      <w:r>
        <w:t xml:space="preserve">Expected Result</w:t>
      </w:r>
    </w:p>
    <w:p>
      <w:pPr>
        <w:pStyle w:val="BodyText"/>
      </w:pPr>
      <w:r>
        <w:t xml:space="preserve">Every textbook movement is recorded and traceable.</w:t>
      </w:r>
    </w:p>
    <w:p>
      <w:pPr>
        <w:pStyle w:val="BodyText"/>
      </w:pPr>
      <w:r>
        <w:t xml:space="preserve">Indicators</w:t>
      </w:r>
    </w:p>
    <w:p>
      <w:pPr>
        <w:pStyle w:val="Compact"/>
        <w:numPr>
          <w:ilvl w:val="0"/>
          <w:numId w:val="1005"/>
        </w:numPr>
      </w:pPr>
      <w:r>
        <w:t xml:space="preserve">Percentage of transactions recorded digitally.</w:t>
      </w:r>
    </w:p>
    <w:p>
      <w:pPr>
        <w:pStyle w:val="Compact"/>
        <w:numPr>
          <w:ilvl w:val="0"/>
          <w:numId w:val="1005"/>
        </w:numPr>
      </w:pPr>
      <w:r>
        <w:t xml:space="preserve">Chain-of-custody completion rate.</w:t>
      </w:r>
    </w:p>
    <w:p>
      <w:pPr>
        <w:pStyle w:val="Compact"/>
        <w:numPr>
          <w:ilvl w:val="0"/>
          <w:numId w:val="1005"/>
        </w:numPr>
      </w:pPr>
      <w:r>
        <w:t xml:space="preserve">Number of unresolved loss investigations.</w:t>
      </w:r>
    </w:p>
    <w:p>
      <w:r>
        <w:pict>
          <v:rect style="width:0;height:1.5pt" o:hralign="center" o:hrstd="t" o:hr="t"/>
        </w:pict>
      </w:r>
    </w:p>
    <w:bookmarkEnd w:id="30"/>
    <w:bookmarkStart w:id="31" w:name="result-area-5"/>
    <w:p>
      <w:pPr>
        <w:pStyle w:val="Heading2"/>
      </w:pPr>
      <w:r>
        <w:t xml:space="preserve">Result Area 5</w:t>
      </w:r>
    </w:p>
    <w:p>
      <w:pPr>
        <w:pStyle w:val="FirstParagraph"/>
      </w:pPr>
      <w:r>
        <w:t xml:space="preserve">Inspection Performance</w:t>
      </w:r>
    </w:p>
    <w:p>
      <w:pPr>
        <w:pStyle w:val="BodyText"/>
      </w:pPr>
      <w:r>
        <w:t xml:space="preserve">Expected Result</w:t>
      </w:r>
    </w:p>
    <w:p>
      <w:pPr>
        <w:pStyle w:val="BodyText"/>
      </w:pPr>
      <w:r>
        <w:t xml:space="preserve">School inspections become more efficient and consistent.</w:t>
      </w:r>
    </w:p>
    <w:p>
      <w:pPr>
        <w:pStyle w:val="BodyText"/>
      </w:pPr>
      <w:r>
        <w:t xml:space="preserve">Indicators</w:t>
      </w:r>
    </w:p>
    <w:p>
      <w:pPr>
        <w:pStyle w:val="Compact"/>
        <w:numPr>
          <w:ilvl w:val="0"/>
          <w:numId w:val="1006"/>
        </w:numPr>
      </w:pPr>
      <w:r>
        <w:t xml:space="preserve">Inspection completion rate.</w:t>
      </w:r>
    </w:p>
    <w:p>
      <w:pPr>
        <w:pStyle w:val="Compact"/>
        <w:numPr>
          <w:ilvl w:val="0"/>
          <w:numId w:val="1006"/>
        </w:numPr>
      </w:pPr>
      <w:r>
        <w:t xml:space="preserve">Average inspection reporting time.</w:t>
      </w:r>
    </w:p>
    <w:p>
      <w:pPr>
        <w:pStyle w:val="Compact"/>
        <w:numPr>
          <w:ilvl w:val="0"/>
          <w:numId w:val="1006"/>
        </w:numPr>
      </w:pPr>
      <w:r>
        <w:t xml:space="preserve">Percentage of corrective actions implemented.</w:t>
      </w:r>
    </w:p>
    <w:p>
      <w:r>
        <w:pict>
          <v:rect style="width:0;height:1.5pt" o:hralign="center" o:hrstd="t" o:hr="t"/>
        </w:pict>
      </w:r>
    </w:p>
    <w:bookmarkEnd w:id="31"/>
    <w:bookmarkStart w:id="32" w:name="result-area-6"/>
    <w:p>
      <w:pPr>
        <w:pStyle w:val="Heading2"/>
      </w:pPr>
      <w:r>
        <w:t xml:space="preserve">Result Area 6</w:t>
      </w:r>
    </w:p>
    <w:p>
      <w:pPr>
        <w:pStyle w:val="FirstParagraph"/>
      </w:pPr>
      <w:r>
        <w:t xml:space="preserve">Decision Support</w:t>
      </w:r>
    </w:p>
    <w:p>
      <w:pPr>
        <w:pStyle w:val="BodyText"/>
      </w:pPr>
      <w:r>
        <w:t xml:space="preserve">Expected Result</w:t>
      </w:r>
    </w:p>
    <w:p>
      <w:pPr>
        <w:pStyle w:val="BodyText"/>
      </w:pPr>
      <w:r>
        <w:t xml:space="preserve">Decision-makers have access to reliable operational intelligence.</w:t>
      </w:r>
    </w:p>
    <w:p>
      <w:pPr>
        <w:pStyle w:val="BodyText"/>
      </w:pPr>
      <w:r>
        <w:t xml:space="preserve">Indicators</w:t>
      </w:r>
    </w:p>
    <w:p>
      <w:pPr>
        <w:pStyle w:val="Compact"/>
        <w:numPr>
          <w:ilvl w:val="0"/>
          <w:numId w:val="1007"/>
        </w:numPr>
      </w:pPr>
      <w:r>
        <w:t xml:space="preserve">Dashboard usage.</w:t>
      </w:r>
    </w:p>
    <w:p>
      <w:pPr>
        <w:pStyle w:val="Compact"/>
        <w:numPr>
          <w:ilvl w:val="0"/>
          <w:numId w:val="1007"/>
        </w:numPr>
      </w:pPr>
      <w:r>
        <w:t xml:space="preserve">Report generation time.</w:t>
      </w:r>
    </w:p>
    <w:p>
      <w:pPr>
        <w:pStyle w:val="Compact"/>
        <w:numPr>
          <w:ilvl w:val="0"/>
          <w:numId w:val="1007"/>
        </w:numPr>
      </w:pPr>
      <w:r>
        <w:t xml:space="preserve">Forecast accuracy.</w:t>
      </w:r>
    </w:p>
    <w:p>
      <w:pPr>
        <w:pStyle w:val="Compact"/>
        <w:numPr>
          <w:ilvl w:val="0"/>
          <w:numId w:val="1007"/>
        </w:numPr>
      </w:pPr>
      <w:r>
        <w:t xml:space="preserve">Response time to shortages.</w:t>
      </w:r>
    </w:p>
    <w:p>
      <w:r>
        <w:pict>
          <v:rect style="width:0;height:1.5pt" o:hralign="center" o:hrstd="t" o:hr="t"/>
        </w:pict>
      </w:r>
    </w:p>
    <w:bookmarkEnd w:id="32"/>
    <w:bookmarkEnd w:id="33"/>
    <w:bookmarkStart w:id="38" w:name="performance-measurement-framework"/>
    <w:p>
      <w:pPr>
        <w:pStyle w:val="Heading1"/>
      </w:pPr>
      <w:r>
        <w:t xml:space="preserve">13.7 Performance Measurement Framework</w:t>
      </w:r>
    </w:p>
    <w:p>
      <w:pPr>
        <w:pStyle w:val="FirstParagraph"/>
      </w:pPr>
      <w:r>
        <w:t xml:space="preserve">The platform measures performance at multiple administrative levels.</w:t>
      </w:r>
    </w:p>
    <w:bookmarkStart w:id="34" w:name="school-level"/>
    <w:p>
      <w:pPr>
        <w:pStyle w:val="Heading2"/>
      </w:pPr>
      <w:r>
        <w:t xml:space="preserve">School Level</w:t>
      </w:r>
    </w:p>
    <w:p>
      <w:pPr>
        <w:pStyle w:val="FirstParagraph"/>
      </w:pPr>
      <w:r>
        <w:t xml:space="preserve">Indicators include:</w:t>
      </w:r>
    </w:p>
    <w:p>
      <w:pPr>
        <w:pStyle w:val="Compact"/>
        <w:numPr>
          <w:ilvl w:val="0"/>
          <w:numId w:val="1008"/>
        </w:numPr>
      </w:pPr>
      <w:r>
        <w:t xml:space="preserve">Current inventory.</w:t>
      </w:r>
    </w:p>
    <w:p>
      <w:pPr>
        <w:pStyle w:val="Compact"/>
        <w:numPr>
          <w:ilvl w:val="0"/>
          <w:numId w:val="1008"/>
        </w:numPr>
      </w:pPr>
      <w:r>
        <w:t xml:space="preserve">Books issued.</w:t>
      </w:r>
    </w:p>
    <w:p>
      <w:pPr>
        <w:pStyle w:val="Compact"/>
        <w:numPr>
          <w:ilvl w:val="0"/>
          <w:numId w:val="1008"/>
        </w:numPr>
      </w:pPr>
      <w:r>
        <w:t xml:space="preserve">Books returned.</w:t>
      </w:r>
    </w:p>
    <w:p>
      <w:pPr>
        <w:pStyle w:val="Compact"/>
        <w:numPr>
          <w:ilvl w:val="0"/>
          <w:numId w:val="1008"/>
        </w:numPr>
      </w:pPr>
      <w:r>
        <w:t xml:space="preserve">Damaged books.</w:t>
      </w:r>
    </w:p>
    <w:p>
      <w:pPr>
        <w:pStyle w:val="Compact"/>
        <w:numPr>
          <w:ilvl w:val="0"/>
          <w:numId w:val="1008"/>
        </w:numPr>
      </w:pPr>
      <w:r>
        <w:t xml:space="preserve">Missing books.</w:t>
      </w:r>
    </w:p>
    <w:p>
      <w:pPr>
        <w:pStyle w:val="Compact"/>
        <w:numPr>
          <w:ilvl w:val="0"/>
          <w:numId w:val="1008"/>
        </w:numPr>
      </w:pPr>
      <w:r>
        <w:t xml:space="preserve">Reporting status.</w:t>
      </w:r>
    </w:p>
    <w:p>
      <w:pPr>
        <w:pStyle w:val="Compact"/>
        <w:numPr>
          <w:ilvl w:val="0"/>
          <w:numId w:val="1008"/>
        </w:numPr>
      </w:pPr>
      <w:r>
        <w:t xml:space="preserve">Student textbook ratio.</w:t>
      </w:r>
    </w:p>
    <w:p>
      <w:pPr>
        <w:pStyle w:val="Compact"/>
        <w:numPr>
          <w:ilvl w:val="0"/>
          <w:numId w:val="1008"/>
        </w:numPr>
      </w:pPr>
      <w:r>
        <w:t xml:space="preserve">Inventory accuracy.</w:t>
      </w:r>
    </w:p>
    <w:p>
      <w:r>
        <w:pict>
          <v:rect style="width:0;height:1.5pt" o:hralign="center" o:hrstd="t" o:hr="t"/>
        </w:pict>
      </w:r>
    </w:p>
    <w:bookmarkEnd w:id="34"/>
    <w:bookmarkStart w:id="35" w:name="divisional-level"/>
    <w:p>
      <w:pPr>
        <w:pStyle w:val="Heading2"/>
      </w:pPr>
      <w:r>
        <w:t xml:space="preserve">Divisional Level</w:t>
      </w:r>
    </w:p>
    <w:p>
      <w:pPr>
        <w:pStyle w:val="FirstParagraph"/>
      </w:pPr>
      <w:r>
        <w:t xml:space="preserve">Indicators include:</w:t>
      </w:r>
    </w:p>
    <w:p>
      <w:pPr>
        <w:pStyle w:val="Compact"/>
        <w:numPr>
          <w:ilvl w:val="0"/>
          <w:numId w:val="1009"/>
        </w:numPr>
      </w:pPr>
      <w:r>
        <w:t xml:space="preserve">Schools reporting.</w:t>
      </w:r>
    </w:p>
    <w:p>
      <w:pPr>
        <w:pStyle w:val="Compact"/>
        <w:numPr>
          <w:ilvl w:val="0"/>
          <w:numId w:val="1009"/>
        </w:numPr>
      </w:pPr>
      <w:r>
        <w:t xml:space="preserve">Outstanding inspections.</w:t>
      </w:r>
    </w:p>
    <w:p>
      <w:pPr>
        <w:pStyle w:val="Compact"/>
        <w:numPr>
          <w:ilvl w:val="0"/>
          <w:numId w:val="1009"/>
        </w:numPr>
      </w:pPr>
      <w:r>
        <w:t xml:space="preserve">Distribution status.</w:t>
      </w:r>
    </w:p>
    <w:p>
      <w:pPr>
        <w:pStyle w:val="Compact"/>
        <w:numPr>
          <w:ilvl w:val="0"/>
          <w:numId w:val="1009"/>
        </w:numPr>
      </w:pPr>
      <w:r>
        <w:t xml:space="preserve">Shortage alerts.</w:t>
      </w:r>
    </w:p>
    <w:p>
      <w:pPr>
        <w:pStyle w:val="Compact"/>
        <w:numPr>
          <w:ilvl w:val="0"/>
          <w:numId w:val="1009"/>
        </w:numPr>
      </w:pPr>
      <w:r>
        <w:t xml:space="preserve">Regional support requests.</w:t>
      </w:r>
    </w:p>
    <w:p>
      <w:r>
        <w:pict>
          <v:rect style="width:0;height:1.5pt" o:hralign="center" o:hrstd="t" o:hr="t"/>
        </w:pict>
      </w:r>
    </w:p>
    <w:bookmarkEnd w:id="35"/>
    <w:bookmarkStart w:id="36" w:name="regional-level"/>
    <w:p>
      <w:pPr>
        <w:pStyle w:val="Heading2"/>
      </w:pPr>
      <w:r>
        <w:t xml:space="preserve">Regional Level</w:t>
      </w:r>
    </w:p>
    <w:p>
      <w:pPr>
        <w:pStyle w:val="FirstParagraph"/>
      </w:pPr>
      <w:r>
        <w:t xml:space="preserve">Indicators include:</w:t>
      </w:r>
    </w:p>
    <w:p>
      <w:pPr>
        <w:pStyle w:val="Compact"/>
        <w:numPr>
          <w:ilvl w:val="0"/>
          <w:numId w:val="1010"/>
        </w:numPr>
      </w:pPr>
      <w:r>
        <w:t xml:space="preserve">Regional stock availability.</w:t>
      </w:r>
    </w:p>
    <w:p>
      <w:pPr>
        <w:pStyle w:val="Compact"/>
        <w:numPr>
          <w:ilvl w:val="0"/>
          <w:numId w:val="1010"/>
        </w:numPr>
      </w:pPr>
      <w:r>
        <w:t xml:space="preserve">Distribution completion.</w:t>
      </w:r>
    </w:p>
    <w:p>
      <w:pPr>
        <w:pStyle w:val="Compact"/>
        <w:numPr>
          <w:ilvl w:val="0"/>
          <w:numId w:val="1010"/>
        </w:numPr>
      </w:pPr>
      <w:r>
        <w:t xml:space="preserve">Warehouse performance.</w:t>
      </w:r>
    </w:p>
    <w:p>
      <w:pPr>
        <w:pStyle w:val="Compact"/>
        <w:numPr>
          <w:ilvl w:val="0"/>
          <w:numId w:val="1010"/>
        </w:numPr>
      </w:pPr>
      <w:r>
        <w:t xml:space="preserve">Inspection coverage.</w:t>
      </w:r>
    </w:p>
    <w:p>
      <w:pPr>
        <w:pStyle w:val="Compact"/>
        <w:numPr>
          <w:ilvl w:val="0"/>
          <w:numId w:val="1010"/>
        </w:numPr>
      </w:pPr>
      <w:r>
        <w:t xml:space="preserve">Reporting compliance.</w:t>
      </w:r>
    </w:p>
    <w:p>
      <w:r>
        <w:pict>
          <v:rect style="width:0;height:1.5pt" o:hralign="center" o:hrstd="t" o:hr="t"/>
        </w:pict>
      </w:r>
    </w:p>
    <w:bookmarkEnd w:id="36"/>
    <w:bookmarkStart w:id="37" w:name="national-level"/>
    <w:p>
      <w:pPr>
        <w:pStyle w:val="Heading2"/>
      </w:pPr>
      <w:r>
        <w:t xml:space="preserve">National Level</w:t>
      </w:r>
    </w:p>
    <w:p>
      <w:pPr>
        <w:pStyle w:val="FirstParagraph"/>
      </w:pPr>
      <w:r>
        <w:t xml:space="preserve">Indicators include:</w:t>
      </w:r>
    </w:p>
    <w:p>
      <w:pPr>
        <w:pStyle w:val="Compact"/>
        <w:numPr>
          <w:ilvl w:val="0"/>
          <w:numId w:val="1011"/>
        </w:numPr>
      </w:pPr>
      <w:r>
        <w:t xml:space="preserve">National inventory.</w:t>
      </w:r>
    </w:p>
    <w:p>
      <w:pPr>
        <w:pStyle w:val="Compact"/>
        <w:numPr>
          <w:ilvl w:val="0"/>
          <w:numId w:val="1011"/>
        </w:numPr>
      </w:pPr>
      <w:r>
        <w:t xml:space="preserve">Distribution performance.</w:t>
      </w:r>
    </w:p>
    <w:p>
      <w:pPr>
        <w:pStyle w:val="Compact"/>
        <w:numPr>
          <w:ilvl w:val="0"/>
          <w:numId w:val="1011"/>
        </w:numPr>
      </w:pPr>
      <w:r>
        <w:t xml:space="preserve">Procurement status.</w:t>
      </w:r>
    </w:p>
    <w:p>
      <w:pPr>
        <w:pStyle w:val="Compact"/>
        <w:numPr>
          <w:ilvl w:val="0"/>
          <w:numId w:val="1011"/>
        </w:numPr>
      </w:pPr>
      <w:r>
        <w:t xml:space="preserve">Resource utilization.</w:t>
      </w:r>
    </w:p>
    <w:p>
      <w:pPr>
        <w:pStyle w:val="Compact"/>
        <w:numPr>
          <w:ilvl w:val="0"/>
          <w:numId w:val="1011"/>
        </w:numPr>
      </w:pPr>
      <w:r>
        <w:t xml:space="preserve">Programme implementation progress.</w:t>
      </w:r>
    </w:p>
    <w:p>
      <w:pPr>
        <w:pStyle w:val="Compact"/>
        <w:numPr>
          <w:ilvl w:val="0"/>
          <w:numId w:val="1011"/>
        </w:numPr>
      </w:pPr>
      <w:r>
        <w:t xml:space="preserve">Budget utilization.</w:t>
      </w:r>
    </w:p>
    <w:p>
      <w:pPr>
        <w:pStyle w:val="Compact"/>
        <w:numPr>
          <w:ilvl w:val="0"/>
          <w:numId w:val="1011"/>
        </w:numPr>
      </w:pPr>
      <w:r>
        <w:t xml:space="preserve">National replacement forecast.</w:t>
      </w:r>
    </w:p>
    <w:p>
      <w:r>
        <w:pict>
          <v:rect style="width:0;height:1.5pt" o:hralign="center" o:hrstd="t" o:hr="t"/>
        </w:pict>
      </w:r>
    </w:p>
    <w:bookmarkEnd w:id="37"/>
    <w:bookmarkEnd w:id="38"/>
    <w:bookmarkStart w:id="39" w:name="data-collection-strategy"/>
    <w:p>
      <w:pPr>
        <w:pStyle w:val="Heading1"/>
      </w:pPr>
      <w:r>
        <w:t xml:space="preserve">13.8 Data Collection Strategy</w:t>
      </w:r>
    </w:p>
    <w:p>
      <w:pPr>
        <w:pStyle w:val="FirstParagraph"/>
      </w:pPr>
      <w:r>
        <w:t xml:space="preserve">Operational information will be collected from:</w:t>
      </w:r>
    </w:p>
    <w:p>
      <w:pPr>
        <w:pStyle w:val="Compact"/>
        <w:numPr>
          <w:ilvl w:val="0"/>
          <w:numId w:val="1012"/>
        </w:numPr>
      </w:pPr>
      <w:r>
        <w:t xml:space="preserve">Schools</w:t>
      </w:r>
    </w:p>
    <w:p>
      <w:pPr>
        <w:pStyle w:val="Compact"/>
        <w:numPr>
          <w:ilvl w:val="0"/>
          <w:numId w:val="1012"/>
        </w:numPr>
      </w:pPr>
      <w:r>
        <w:t xml:space="preserve">Regional warehouses</w:t>
      </w:r>
    </w:p>
    <w:p>
      <w:pPr>
        <w:pStyle w:val="Compact"/>
        <w:numPr>
          <w:ilvl w:val="0"/>
          <w:numId w:val="1012"/>
        </w:numPr>
      </w:pPr>
      <w:r>
        <w:t xml:space="preserve">Divisional offices</w:t>
      </w:r>
    </w:p>
    <w:p>
      <w:pPr>
        <w:pStyle w:val="Compact"/>
        <w:numPr>
          <w:ilvl w:val="0"/>
          <w:numId w:val="1012"/>
        </w:numPr>
      </w:pPr>
      <w:r>
        <w:t xml:space="preserve">Inspection activities</w:t>
      </w:r>
    </w:p>
    <w:p>
      <w:pPr>
        <w:pStyle w:val="Compact"/>
        <w:numPr>
          <w:ilvl w:val="0"/>
          <w:numId w:val="1012"/>
        </w:numPr>
      </w:pPr>
      <w:r>
        <w:t xml:space="preserve">Distribution records</w:t>
      </w:r>
    </w:p>
    <w:p>
      <w:pPr>
        <w:pStyle w:val="Compact"/>
        <w:numPr>
          <w:ilvl w:val="0"/>
          <w:numId w:val="1012"/>
        </w:numPr>
      </w:pPr>
      <w:r>
        <w:t xml:space="preserve">Inventory verification</w:t>
      </w:r>
    </w:p>
    <w:p>
      <w:pPr>
        <w:pStyle w:val="Compact"/>
        <w:numPr>
          <w:ilvl w:val="0"/>
          <w:numId w:val="1012"/>
        </w:numPr>
      </w:pPr>
      <w:r>
        <w:t xml:space="preserve">User activity logs</w:t>
      </w:r>
    </w:p>
    <w:p>
      <w:pPr>
        <w:pStyle w:val="Compact"/>
        <w:numPr>
          <w:ilvl w:val="0"/>
          <w:numId w:val="1012"/>
        </w:numPr>
      </w:pPr>
      <w:r>
        <w:t xml:space="preserve">System reports</w:t>
      </w:r>
    </w:p>
    <w:p>
      <w:pPr>
        <w:pStyle w:val="FirstParagraph"/>
      </w:pPr>
      <w:r>
        <w:t xml:space="preserve">Data collection procedures should be documented and standardized to promote consistency across all participating institutions.</w:t>
      </w:r>
    </w:p>
    <w:p>
      <w:r>
        <w:pict>
          <v:rect style="width:0;height:1.5pt" o:hralign="center" o:hrstd="t" o:hr="t"/>
        </w:pict>
      </w:r>
    </w:p>
    <w:bookmarkEnd w:id="39"/>
    <w:bookmarkStart w:id="40" w:name="data-quality-assurance"/>
    <w:p>
      <w:pPr>
        <w:pStyle w:val="Heading1"/>
      </w:pPr>
      <w:r>
        <w:t xml:space="preserve">13.9 Data Quality Assurance</w:t>
      </w:r>
    </w:p>
    <w:p>
      <w:pPr>
        <w:pStyle w:val="FirstParagraph"/>
      </w:pPr>
      <w:r>
        <w:t xml:space="preserve">The platform will support data quality through:</w:t>
      </w:r>
    </w:p>
    <w:p>
      <w:pPr>
        <w:pStyle w:val="Compact"/>
        <w:numPr>
          <w:ilvl w:val="0"/>
          <w:numId w:val="1013"/>
        </w:numPr>
      </w:pPr>
      <w:r>
        <w:t xml:space="preserve">Validation rules.</w:t>
      </w:r>
    </w:p>
    <w:p>
      <w:pPr>
        <w:pStyle w:val="Compact"/>
        <w:numPr>
          <w:ilvl w:val="0"/>
          <w:numId w:val="1013"/>
        </w:numPr>
      </w:pPr>
      <w:r>
        <w:t xml:space="preserve">Mandatory fields.</w:t>
      </w:r>
    </w:p>
    <w:p>
      <w:pPr>
        <w:pStyle w:val="Compact"/>
        <w:numPr>
          <w:ilvl w:val="0"/>
          <w:numId w:val="1013"/>
        </w:numPr>
      </w:pPr>
      <w:r>
        <w:t xml:space="preserve">Duplicate detection.</w:t>
      </w:r>
    </w:p>
    <w:p>
      <w:pPr>
        <w:pStyle w:val="Compact"/>
        <w:numPr>
          <w:ilvl w:val="0"/>
          <w:numId w:val="1013"/>
        </w:numPr>
      </w:pPr>
      <w:r>
        <w:t xml:space="preserve">Automated consistency checks.</w:t>
      </w:r>
    </w:p>
    <w:p>
      <w:pPr>
        <w:pStyle w:val="Compact"/>
        <w:numPr>
          <w:ilvl w:val="0"/>
          <w:numId w:val="1013"/>
        </w:numPr>
      </w:pPr>
      <w:r>
        <w:t xml:space="preserve">Exception reports.</w:t>
      </w:r>
    </w:p>
    <w:p>
      <w:pPr>
        <w:pStyle w:val="Compact"/>
        <w:numPr>
          <w:ilvl w:val="0"/>
          <w:numId w:val="1013"/>
        </w:numPr>
      </w:pPr>
      <w:r>
        <w:t xml:space="preserve">Supervisory review.</w:t>
      </w:r>
    </w:p>
    <w:p>
      <w:pPr>
        <w:pStyle w:val="Compact"/>
        <w:numPr>
          <w:ilvl w:val="0"/>
          <w:numId w:val="1013"/>
        </w:numPr>
      </w:pPr>
      <w:r>
        <w:t xml:space="preserve">Periodic verification exercises.</w:t>
      </w:r>
    </w:p>
    <w:p>
      <w:r>
        <w:pict>
          <v:rect style="width:0;height:1.5pt" o:hralign="center" o:hrstd="t" o:hr="t"/>
        </w:pict>
      </w:r>
    </w:p>
    <w:bookmarkEnd w:id="40"/>
    <w:bookmarkStart w:id="41" w:name="evaluation-framework"/>
    <w:p>
      <w:pPr>
        <w:pStyle w:val="Heading1"/>
      </w:pPr>
      <w:r>
        <w:t xml:space="preserve">13.10 Evaluation Framework</w:t>
      </w:r>
    </w:p>
    <w:p>
      <w:pPr>
        <w:pStyle w:val="FirstParagraph"/>
      </w:pPr>
      <w:r>
        <w:t xml:space="preserve">Evaluation activities may include:</w:t>
      </w:r>
    </w:p>
    <w:p>
      <w:pPr>
        <w:pStyle w:val="BodyText"/>
      </w:pPr>
      <w:r>
        <w:t xml:space="preserve">Baseline Assessment</w:t>
      </w:r>
    </w:p>
    <w:p>
      <w:pPr>
        <w:pStyle w:val="BodyText"/>
      </w:pPr>
      <w:r>
        <w:t xml:space="preserve">↓</w:t>
      </w:r>
    </w:p>
    <w:p>
      <w:pPr>
        <w:pStyle w:val="BodyText"/>
      </w:pPr>
      <w:r>
        <w:t xml:space="preserve">Pilot Evaluation</w:t>
      </w:r>
    </w:p>
    <w:p>
      <w:pPr>
        <w:pStyle w:val="BodyText"/>
      </w:pPr>
      <w:r>
        <w:t xml:space="preserve">↓</w:t>
      </w:r>
    </w:p>
    <w:p>
      <w:pPr>
        <w:pStyle w:val="BodyText"/>
      </w:pPr>
      <w:r>
        <w:t xml:space="preserve">Mid-Term Review</w:t>
      </w:r>
    </w:p>
    <w:p>
      <w:pPr>
        <w:pStyle w:val="BodyText"/>
      </w:pPr>
      <w:r>
        <w:t xml:space="preserve">↓</w:t>
      </w:r>
    </w:p>
    <w:p>
      <w:pPr>
        <w:pStyle w:val="BodyText"/>
      </w:pPr>
      <w:r>
        <w:t xml:space="preserve">Regional Assessments</w:t>
      </w:r>
    </w:p>
    <w:p>
      <w:pPr>
        <w:pStyle w:val="BodyText"/>
      </w:pPr>
      <w:r>
        <w:t xml:space="preserve">↓</w:t>
      </w:r>
    </w:p>
    <w:p>
      <w:pPr>
        <w:pStyle w:val="BodyText"/>
      </w:pPr>
      <w:r>
        <w:t xml:space="preserve">National Evaluation</w:t>
      </w:r>
    </w:p>
    <w:p>
      <w:pPr>
        <w:pStyle w:val="BodyText"/>
      </w:pPr>
      <w:r>
        <w:t xml:space="preserve">↓</w:t>
      </w:r>
    </w:p>
    <w:p>
      <w:pPr>
        <w:pStyle w:val="BodyText"/>
      </w:pPr>
      <w:r>
        <w:t xml:space="preserve">Continuous Improvement</w:t>
      </w:r>
    </w:p>
    <w:p>
      <w:pPr>
        <w:pStyle w:val="BodyText"/>
      </w:pPr>
      <w:r>
        <w:t xml:space="preserve">Each stage provides evidence for future implementation decisions.</w:t>
      </w:r>
    </w:p>
    <w:p>
      <w:r>
        <w:pict>
          <v:rect style="width:0;height:1.5pt" o:hralign="center" o:hrstd="t" o:hr="t"/>
        </w:pict>
      </w:r>
    </w:p>
    <w:bookmarkEnd w:id="41"/>
    <w:bookmarkStart w:id="46" w:name="operational-dashboards"/>
    <w:p>
      <w:pPr>
        <w:pStyle w:val="Heading1"/>
      </w:pPr>
      <w:r>
        <w:t xml:space="preserve">13.11 Operational Dashboards</w:t>
      </w:r>
    </w:p>
    <w:p>
      <w:pPr>
        <w:pStyle w:val="FirstParagraph"/>
      </w:pPr>
      <w:r>
        <w:t xml:space="preserve">Illustrative dashboards include:</w:t>
      </w:r>
    </w:p>
    <w:bookmarkStart w:id="42" w:name="executive-dashboard"/>
    <w:p>
      <w:pPr>
        <w:pStyle w:val="Heading3"/>
      </w:pPr>
      <w:r>
        <w:t xml:space="preserve">Executive Dashboard</w:t>
      </w:r>
    </w:p>
    <w:p>
      <w:pPr>
        <w:pStyle w:val="Compact"/>
        <w:numPr>
          <w:ilvl w:val="0"/>
          <w:numId w:val="1014"/>
        </w:numPr>
      </w:pPr>
      <w:r>
        <w:t xml:space="preserve">National textbook availability.</w:t>
      </w:r>
    </w:p>
    <w:p>
      <w:pPr>
        <w:pStyle w:val="Compact"/>
        <w:numPr>
          <w:ilvl w:val="0"/>
          <w:numId w:val="1014"/>
        </w:numPr>
      </w:pPr>
      <w:r>
        <w:t xml:space="preserve">Schools reporting.</w:t>
      </w:r>
    </w:p>
    <w:p>
      <w:pPr>
        <w:pStyle w:val="Compact"/>
        <w:numPr>
          <w:ilvl w:val="0"/>
          <w:numId w:val="1014"/>
        </w:numPr>
      </w:pPr>
      <w:r>
        <w:t xml:space="preserve">Distribution progress.</w:t>
      </w:r>
    </w:p>
    <w:p>
      <w:pPr>
        <w:pStyle w:val="Compact"/>
        <w:numPr>
          <w:ilvl w:val="0"/>
          <w:numId w:val="1014"/>
        </w:numPr>
      </w:pPr>
      <w:r>
        <w:t xml:space="preserve">High-risk regions.</w:t>
      </w:r>
    </w:p>
    <w:p>
      <w:pPr>
        <w:pStyle w:val="Compact"/>
        <w:numPr>
          <w:ilvl w:val="0"/>
          <w:numId w:val="1014"/>
        </w:numPr>
      </w:pPr>
      <w:r>
        <w:t xml:space="preserve">Critical shortages.</w:t>
      </w:r>
    </w:p>
    <w:bookmarkEnd w:id="42"/>
    <w:bookmarkStart w:id="43" w:name="logistics-dashboard"/>
    <w:p>
      <w:pPr>
        <w:pStyle w:val="Heading3"/>
      </w:pPr>
      <w:r>
        <w:t xml:space="preserve">Logistics Dashboard</w:t>
      </w:r>
    </w:p>
    <w:p>
      <w:pPr>
        <w:pStyle w:val="Compact"/>
        <w:numPr>
          <w:ilvl w:val="0"/>
          <w:numId w:val="1015"/>
        </w:numPr>
      </w:pPr>
      <w:r>
        <w:t xml:space="preserve">Warehouse stock.</w:t>
      </w:r>
    </w:p>
    <w:p>
      <w:pPr>
        <w:pStyle w:val="Compact"/>
        <w:numPr>
          <w:ilvl w:val="0"/>
          <w:numId w:val="1015"/>
        </w:numPr>
      </w:pPr>
      <w:r>
        <w:t xml:space="preserve">Shipments in transit.</w:t>
      </w:r>
    </w:p>
    <w:p>
      <w:pPr>
        <w:pStyle w:val="Compact"/>
        <w:numPr>
          <w:ilvl w:val="0"/>
          <w:numId w:val="1015"/>
        </w:numPr>
      </w:pPr>
      <w:r>
        <w:t xml:space="preserve">Delayed deliveries.</w:t>
      </w:r>
    </w:p>
    <w:p>
      <w:pPr>
        <w:pStyle w:val="Compact"/>
        <w:numPr>
          <w:ilvl w:val="0"/>
          <w:numId w:val="1015"/>
        </w:numPr>
      </w:pPr>
      <w:r>
        <w:t xml:space="preserve">Redistribution requests.</w:t>
      </w:r>
    </w:p>
    <w:bookmarkEnd w:id="43"/>
    <w:bookmarkStart w:id="44" w:name="school-dashboard"/>
    <w:p>
      <w:pPr>
        <w:pStyle w:val="Heading3"/>
      </w:pPr>
      <w:r>
        <w:t xml:space="preserve">School Dashboard</w:t>
      </w:r>
    </w:p>
    <w:p>
      <w:pPr>
        <w:pStyle w:val="Compact"/>
        <w:numPr>
          <w:ilvl w:val="0"/>
          <w:numId w:val="1016"/>
        </w:numPr>
      </w:pPr>
      <w:r>
        <w:t xml:space="preserve">Inventory.</w:t>
      </w:r>
    </w:p>
    <w:p>
      <w:pPr>
        <w:pStyle w:val="Compact"/>
        <w:numPr>
          <w:ilvl w:val="0"/>
          <w:numId w:val="1016"/>
        </w:numPr>
      </w:pPr>
      <w:r>
        <w:t xml:space="preserve">Outstanding loans.</w:t>
      </w:r>
    </w:p>
    <w:p>
      <w:pPr>
        <w:pStyle w:val="Compact"/>
        <w:numPr>
          <w:ilvl w:val="0"/>
          <w:numId w:val="1016"/>
        </w:numPr>
      </w:pPr>
      <w:r>
        <w:t xml:space="preserve">Damaged resources.</w:t>
      </w:r>
    </w:p>
    <w:p>
      <w:pPr>
        <w:pStyle w:val="Compact"/>
        <w:numPr>
          <w:ilvl w:val="0"/>
          <w:numId w:val="1016"/>
        </w:numPr>
      </w:pPr>
      <w:r>
        <w:t xml:space="preserve">Student allocations.</w:t>
      </w:r>
    </w:p>
    <w:bookmarkEnd w:id="44"/>
    <w:bookmarkStart w:id="45" w:name="inspection-dashboard"/>
    <w:p>
      <w:pPr>
        <w:pStyle w:val="Heading3"/>
      </w:pPr>
      <w:r>
        <w:t xml:space="preserve">Inspection Dashboard</w:t>
      </w:r>
    </w:p>
    <w:p>
      <w:pPr>
        <w:pStyle w:val="Compact"/>
        <w:numPr>
          <w:ilvl w:val="0"/>
          <w:numId w:val="1017"/>
        </w:numPr>
      </w:pPr>
      <w:r>
        <w:t xml:space="preserve">Schools inspected.</w:t>
      </w:r>
    </w:p>
    <w:p>
      <w:pPr>
        <w:pStyle w:val="Compact"/>
        <w:numPr>
          <w:ilvl w:val="0"/>
          <w:numId w:val="1017"/>
        </w:numPr>
      </w:pPr>
      <w:r>
        <w:t xml:space="preserve">Findings.</w:t>
      </w:r>
    </w:p>
    <w:p>
      <w:pPr>
        <w:pStyle w:val="Compact"/>
        <w:numPr>
          <w:ilvl w:val="0"/>
          <w:numId w:val="1017"/>
        </w:numPr>
      </w:pPr>
      <w:r>
        <w:t xml:space="preserve">Compliance scores.</w:t>
      </w:r>
    </w:p>
    <w:p>
      <w:pPr>
        <w:pStyle w:val="Compact"/>
        <w:numPr>
          <w:ilvl w:val="0"/>
          <w:numId w:val="1017"/>
        </w:numPr>
      </w:pPr>
      <w:r>
        <w:t xml:space="preserve">Corrective actions.</w:t>
      </w:r>
    </w:p>
    <w:p>
      <w:r>
        <w:pict>
          <v:rect style="width:0;height:1.5pt" o:hralign="center" o:hrstd="t" o:hr="t"/>
        </w:pict>
      </w:r>
    </w:p>
    <w:bookmarkEnd w:id="45"/>
    <w:bookmarkEnd w:id="46"/>
    <w:bookmarkStart w:id="47" w:name="programme-benefits-measurement"/>
    <w:p>
      <w:pPr>
        <w:pStyle w:val="Heading1"/>
      </w:pPr>
      <w:r>
        <w:t xml:space="preserve">13.12 Programme Benefits Measurement</w:t>
      </w:r>
    </w:p>
    <w:p>
      <w:pPr>
        <w:pStyle w:val="FirstParagraph"/>
      </w:pPr>
      <w:r>
        <w:t xml:space="preserve">Benefits should be assessed across multiple dimensions.</w:t>
      </w:r>
    </w:p>
    <w:p>
      <w:pPr>
        <w:pStyle w:val="BodyText"/>
      </w:pPr>
      <w:r>
        <w:t xml:space="preserve">Operational Benefits</w:t>
      </w:r>
    </w:p>
    <w:p>
      <w:pPr>
        <w:pStyle w:val="Compact"/>
        <w:numPr>
          <w:ilvl w:val="0"/>
          <w:numId w:val="1018"/>
        </w:numPr>
      </w:pPr>
      <w:r>
        <w:t xml:space="preserve">Reduced manual record keeping.</w:t>
      </w:r>
    </w:p>
    <w:p>
      <w:pPr>
        <w:pStyle w:val="Compact"/>
        <w:numPr>
          <w:ilvl w:val="0"/>
          <w:numId w:val="1018"/>
        </w:numPr>
      </w:pPr>
      <w:r>
        <w:t xml:space="preserve">Faster reporting.</w:t>
      </w:r>
    </w:p>
    <w:p>
      <w:pPr>
        <w:pStyle w:val="Compact"/>
        <w:numPr>
          <w:ilvl w:val="0"/>
          <w:numId w:val="1018"/>
        </w:numPr>
      </w:pPr>
      <w:r>
        <w:t xml:space="preserve">Improved inventory management.</w:t>
      </w:r>
    </w:p>
    <w:p>
      <w:pPr>
        <w:pStyle w:val="Compact"/>
        <w:numPr>
          <w:ilvl w:val="0"/>
          <w:numId w:val="1018"/>
        </w:numPr>
      </w:pPr>
      <w:r>
        <w:t xml:space="preserve">Better inspection efficiency.</w:t>
      </w:r>
    </w:p>
    <w:p>
      <w:pPr>
        <w:pStyle w:val="FirstParagraph"/>
      </w:pPr>
      <w:r>
        <w:t xml:space="preserve">Financial Benefits</w:t>
      </w:r>
    </w:p>
    <w:p>
      <w:pPr>
        <w:pStyle w:val="Compact"/>
        <w:numPr>
          <w:ilvl w:val="0"/>
          <w:numId w:val="1019"/>
        </w:numPr>
      </w:pPr>
      <w:r>
        <w:t xml:space="preserve">Reduced avoidable losses.</w:t>
      </w:r>
    </w:p>
    <w:p>
      <w:pPr>
        <w:pStyle w:val="Compact"/>
        <w:numPr>
          <w:ilvl w:val="0"/>
          <w:numId w:val="1019"/>
        </w:numPr>
      </w:pPr>
      <w:r>
        <w:t xml:space="preserve">Better utilization of educational resources.</w:t>
      </w:r>
    </w:p>
    <w:p>
      <w:pPr>
        <w:pStyle w:val="Compact"/>
        <w:numPr>
          <w:ilvl w:val="0"/>
          <w:numId w:val="1019"/>
        </w:numPr>
      </w:pPr>
      <w:r>
        <w:t xml:space="preserve">Improved planning for future procurement.</w:t>
      </w:r>
    </w:p>
    <w:p>
      <w:pPr>
        <w:pStyle w:val="FirstParagraph"/>
      </w:pPr>
      <w:r>
        <w:t xml:space="preserve">Institutional Benefits</w:t>
      </w:r>
    </w:p>
    <w:p>
      <w:pPr>
        <w:pStyle w:val="Compact"/>
        <w:numPr>
          <w:ilvl w:val="0"/>
          <w:numId w:val="1020"/>
        </w:numPr>
      </w:pPr>
      <w:r>
        <w:t xml:space="preserve">Stronger accountability.</w:t>
      </w:r>
    </w:p>
    <w:p>
      <w:pPr>
        <w:pStyle w:val="Compact"/>
        <w:numPr>
          <w:ilvl w:val="0"/>
          <w:numId w:val="1020"/>
        </w:numPr>
      </w:pPr>
      <w:r>
        <w:t xml:space="preserve">Improved transparency.</w:t>
      </w:r>
    </w:p>
    <w:p>
      <w:pPr>
        <w:pStyle w:val="Compact"/>
        <w:numPr>
          <w:ilvl w:val="0"/>
          <w:numId w:val="1020"/>
        </w:numPr>
      </w:pPr>
      <w:r>
        <w:t xml:space="preserve">Better coordination between administrative levels.</w:t>
      </w:r>
    </w:p>
    <w:p>
      <w:pPr>
        <w:pStyle w:val="FirstParagraph"/>
      </w:pPr>
      <w:r>
        <w:t xml:space="preserve">Educational Benefits</w:t>
      </w:r>
    </w:p>
    <w:p>
      <w:pPr>
        <w:pStyle w:val="Compact"/>
        <w:numPr>
          <w:ilvl w:val="0"/>
          <w:numId w:val="1021"/>
        </w:numPr>
      </w:pPr>
      <w:r>
        <w:t xml:space="preserve">Improved access to learning materials.</w:t>
      </w:r>
    </w:p>
    <w:p>
      <w:pPr>
        <w:pStyle w:val="Compact"/>
        <w:numPr>
          <w:ilvl w:val="0"/>
          <w:numId w:val="1021"/>
        </w:numPr>
      </w:pPr>
      <w:r>
        <w:t xml:space="preserve">Better support for teaching.</w:t>
      </w:r>
    </w:p>
    <w:p>
      <w:pPr>
        <w:pStyle w:val="Compact"/>
        <w:numPr>
          <w:ilvl w:val="0"/>
          <w:numId w:val="1021"/>
        </w:numPr>
      </w:pPr>
      <w:r>
        <w:t xml:space="preserve">More equitable resource allocation.</w:t>
      </w:r>
    </w:p>
    <w:p>
      <w:r>
        <w:pict>
          <v:rect style="width:0;height:1.5pt" o:hralign="center" o:hrstd="t" o:hr="t"/>
        </w:pict>
      </w:r>
    </w:p>
    <w:bookmarkEnd w:id="47"/>
    <w:bookmarkStart w:id="48" w:name="learning-and-continuous-improvement"/>
    <w:p>
      <w:pPr>
        <w:pStyle w:val="Heading1"/>
      </w:pPr>
      <w:r>
        <w:t xml:space="preserve">13.13 Learning and Continuous Improvement</w:t>
      </w:r>
    </w:p>
    <w:p>
      <w:pPr>
        <w:pStyle w:val="FirstParagraph"/>
      </w:pPr>
      <w:r>
        <w:t xml:space="preserve">Monitoring is not solely intended to identify problems. It should also promote continuous improvement.</w:t>
      </w:r>
    </w:p>
    <w:p>
      <w:pPr>
        <w:pStyle w:val="BodyText"/>
      </w:pPr>
      <w:r>
        <w:t xml:space="preserve">The platform will support:</w:t>
      </w:r>
    </w:p>
    <w:p>
      <w:pPr>
        <w:pStyle w:val="Compact"/>
        <w:numPr>
          <w:ilvl w:val="0"/>
          <w:numId w:val="1022"/>
        </w:numPr>
      </w:pPr>
      <w:r>
        <w:t xml:space="preserve">Lessons learned.</w:t>
      </w:r>
    </w:p>
    <w:p>
      <w:pPr>
        <w:pStyle w:val="Compact"/>
        <w:numPr>
          <w:ilvl w:val="0"/>
          <w:numId w:val="1022"/>
        </w:numPr>
      </w:pPr>
      <w:r>
        <w:t xml:space="preserve">Operational reviews.</w:t>
      </w:r>
    </w:p>
    <w:p>
      <w:pPr>
        <w:pStyle w:val="Compact"/>
        <w:numPr>
          <w:ilvl w:val="0"/>
          <w:numId w:val="1022"/>
        </w:numPr>
      </w:pPr>
      <w:r>
        <w:t xml:space="preserve">Best practice sharing.</w:t>
      </w:r>
    </w:p>
    <w:p>
      <w:pPr>
        <w:pStyle w:val="Compact"/>
        <w:numPr>
          <w:ilvl w:val="0"/>
          <w:numId w:val="1022"/>
        </w:numPr>
      </w:pPr>
      <w:r>
        <w:t xml:space="preserve">User feedback.</w:t>
      </w:r>
    </w:p>
    <w:p>
      <w:pPr>
        <w:pStyle w:val="Compact"/>
        <w:numPr>
          <w:ilvl w:val="0"/>
          <w:numId w:val="1022"/>
        </w:numPr>
      </w:pPr>
      <w:r>
        <w:t xml:space="preserve">Enhancement requests.</w:t>
      </w:r>
    </w:p>
    <w:p>
      <w:pPr>
        <w:pStyle w:val="Compact"/>
        <w:numPr>
          <w:ilvl w:val="0"/>
          <w:numId w:val="1022"/>
        </w:numPr>
      </w:pPr>
      <w:r>
        <w:t xml:space="preserve">Periodic policy recommendations.</w:t>
      </w:r>
    </w:p>
    <w:p>
      <w:r>
        <w:pict>
          <v:rect style="width:0;height:1.5pt" o:hralign="center" o:hrstd="t" o:hr="t"/>
        </w:pict>
      </w:r>
    </w:p>
    <w:bookmarkEnd w:id="48"/>
    <w:bookmarkStart w:id="49" w:name="long-term-national-impact"/>
    <w:p>
      <w:pPr>
        <w:pStyle w:val="Heading1"/>
      </w:pPr>
      <w:r>
        <w:t xml:space="preserve">13.14 Long-Term National Impact</w:t>
      </w:r>
    </w:p>
    <w:p>
      <w:pPr>
        <w:pStyle w:val="FirstParagraph"/>
      </w:pPr>
      <w:r>
        <w:t xml:space="preserve">Successful implementation of the National Digital Textbook Lifecycle &amp; Learning Resource Management System is expected to contribute to:</w:t>
      </w:r>
    </w:p>
    <w:p>
      <w:pPr>
        <w:pStyle w:val="Compact"/>
        <w:numPr>
          <w:ilvl w:val="0"/>
          <w:numId w:val="1023"/>
        </w:numPr>
      </w:pPr>
      <w:r>
        <w:t xml:space="preserve">Greater accountability in the management of educational resources.</w:t>
      </w:r>
    </w:p>
    <w:p>
      <w:pPr>
        <w:pStyle w:val="Compact"/>
        <w:numPr>
          <w:ilvl w:val="0"/>
          <w:numId w:val="1023"/>
        </w:numPr>
      </w:pPr>
      <w:r>
        <w:t xml:space="preserve">Improved transparency across the textbook supply chain.</w:t>
      </w:r>
    </w:p>
    <w:p>
      <w:pPr>
        <w:pStyle w:val="Compact"/>
        <w:numPr>
          <w:ilvl w:val="0"/>
          <w:numId w:val="1023"/>
        </w:numPr>
      </w:pPr>
      <w:r>
        <w:t xml:space="preserve">Better planning and budgeting.</w:t>
      </w:r>
    </w:p>
    <w:p>
      <w:pPr>
        <w:pStyle w:val="Compact"/>
        <w:numPr>
          <w:ilvl w:val="0"/>
          <w:numId w:val="1023"/>
        </w:numPr>
      </w:pPr>
      <w:r>
        <w:t xml:space="preserve">Stronger institutional capacity.</w:t>
      </w:r>
    </w:p>
    <w:p>
      <w:pPr>
        <w:pStyle w:val="Compact"/>
        <w:numPr>
          <w:ilvl w:val="0"/>
          <w:numId w:val="1023"/>
        </w:numPr>
      </w:pPr>
      <w:r>
        <w:t xml:space="preserve">More effective inspection and monitoring.</w:t>
      </w:r>
    </w:p>
    <w:p>
      <w:pPr>
        <w:pStyle w:val="Compact"/>
        <w:numPr>
          <w:ilvl w:val="0"/>
          <w:numId w:val="1023"/>
        </w:numPr>
      </w:pPr>
      <w:r>
        <w:t xml:space="preserve">Better stewardship of public investment.</w:t>
      </w:r>
    </w:p>
    <w:p>
      <w:pPr>
        <w:pStyle w:val="Compact"/>
        <w:numPr>
          <w:ilvl w:val="0"/>
          <w:numId w:val="1023"/>
        </w:numPr>
      </w:pPr>
      <w:r>
        <w:t xml:space="preserve">Increased confidence among schools, government, communities, and development partners.</w:t>
      </w:r>
    </w:p>
    <w:p>
      <w:pPr>
        <w:pStyle w:val="FirstParagraph"/>
      </w:pPr>
      <w:r>
        <w:t xml:space="preserve">Beyond textbooks, the platform establishes a digital foundation that can support the lifecycle management of other educational assets, enabling a broader transformation of education resource governance.</w:t>
      </w:r>
    </w:p>
    <w:p>
      <w:r>
        <w:pict>
          <v:rect style="width:0;height:1.5pt" o:hralign="center" o:hrstd="t" o:hr="t"/>
        </w:pict>
      </w:r>
    </w:p>
    <w:bookmarkEnd w:id="49"/>
    <w:bookmarkStart w:id="50" w:name="conclusion"/>
    <w:p>
      <w:pPr>
        <w:pStyle w:val="Heading1"/>
      </w:pPr>
      <w:r>
        <w:t xml:space="preserve">13.15 Conclusion</w:t>
      </w:r>
    </w:p>
    <w:p>
      <w:pPr>
        <w:pStyle w:val="FirstParagraph"/>
      </w:pPr>
      <w:r>
        <w:t xml:space="preserve">The Monitoring and Evaluation Framework provides a structured approach for measuring implementation progress, operational performance, institutional strengthening, and long-term impact.</w:t>
      </w:r>
    </w:p>
    <w:p>
      <w:pPr>
        <w:pStyle w:val="BodyText"/>
      </w:pPr>
      <w:r>
        <w:t xml:space="preserve">By integrating performance measurement directly into the platform, the Ministry will have access to reliable information that supports timely decisions, continuous improvement, and transparent reporting to government, oversight bodies, and development partners.</w:t>
      </w:r>
    </w:p>
    <w:p>
      <w:pPr>
        <w:pStyle w:val="BodyText"/>
      </w:pPr>
      <w:r>
        <w:t xml:space="preserve">The framework ensures that the proposed system is not only implemented successfully but also delivers measurable and sustainable improvements to the management of educational resources throughout Cameroon.</w:t>
      </w:r>
    </w:p>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2026-07-10T12:56:40Z</dcterms:created>
  <dcterms:modified xsi:type="dcterms:W3CDTF">2026-07-10T12:56:40Z</dcterms:modified>
</cp:coreProperties>
</file>

<file path=docProps/custom.xml><?xml version="1.0" encoding="utf-8"?>
<Properties xmlns="http://schemas.openxmlformats.org/officeDocument/2006/custom-properties" xmlns:vt="http://schemas.openxmlformats.org/officeDocument/2006/docPropsVTypes"/>
</file>