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5"/>
    <w:p>
      <w:pPr>
        <w:pStyle w:val="Heading1"/>
      </w:pPr>
      <w:r>
        <w:t xml:space="preserve">CHAPTER 15</w:t>
      </w:r>
    </w:p>
    <w:bookmarkEnd w:id="20"/>
    <w:bookmarkStart w:id="22" w:name="X452b1c6a7baffeefb0be09b91ef4b1e9a488f8a"/>
    <w:p>
      <w:pPr>
        <w:pStyle w:val="Heading1"/>
      </w:pPr>
      <w:r>
        <w:t xml:space="preserve">THE NATIONAL EDUCATION RESOURCE INTELLIGENCE PLATFORM (NERIP)</w:t>
      </w:r>
    </w:p>
    <w:bookmarkStart w:id="21" w:name="Xb5c26a402a2572f232b771908793bfcd38bed04"/>
    <w:p>
      <w:pPr>
        <w:pStyle w:val="Heading2"/>
      </w:pPr>
      <w:r>
        <w:t xml:space="preserve">15.1 A New Vision for Educational Resource Management</w:t>
      </w:r>
    </w:p>
    <w:p>
      <w:pPr>
        <w:pStyle w:val="FirstParagraph"/>
      </w:pPr>
      <w:r>
        <w:t xml:space="preserve">The National Digital Textbook Lifecycle &amp; Learning Resource Management System is envisioned as the first implementation phase of a broader national digital transformation programme.</w:t>
      </w:r>
    </w:p>
    <w:p>
      <w:pPr>
        <w:pStyle w:val="BodyText"/>
      </w:pPr>
      <w:r>
        <w:t xml:space="preserve">Its immediate objective is to strengthen the management of textbooks throughout their lifecycle. However, the same operational principles, governance framework, technical architecture, and digital infrastructure can support the management of every educational asset owned by the Government of Cameroon.</w:t>
      </w:r>
    </w:p>
    <w:p>
      <w:pPr>
        <w:pStyle w:val="BodyText"/>
      </w:pPr>
      <w:r>
        <w:t xml:space="preserve">Rather than developing separate software applications for textbooks, laboratories, libraries, ICT equipment, furniture, school infrastructure, and vehicles, the Ministry can establish a single integrated platform that provides complete visibility into educational resources from acquisition to retirement.</w:t>
      </w:r>
    </w:p>
    <w:p>
      <w:pPr>
        <w:pStyle w:val="BodyText"/>
      </w:pPr>
      <w:r>
        <w:t xml:space="preserve">The National Education Resource Intelligence Platform (NERIP) represents this long-term vision.</w:t>
      </w:r>
    </w:p>
    <w:p>
      <w:r>
        <w:pict>
          <v:rect style="width:0;height:1.5pt" o:hralign="center" o:hrstd="t" o:hr="t"/>
        </w:pict>
      </w:r>
    </w:p>
    <w:bookmarkEnd w:id="21"/>
    <w:bookmarkEnd w:id="22"/>
    <w:bookmarkStart w:id="23" w:name="vision-statement"/>
    <w:p>
      <w:pPr>
        <w:pStyle w:val="Heading1"/>
      </w:pPr>
      <w:r>
        <w:t xml:space="preserve">15.2 Vision Statement</w:t>
      </w:r>
    </w:p>
    <w:p>
      <w:pPr>
        <w:pStyle w:val="FirstParagraph"/>
      </w:pPr>
      <w:r>
        <w:t xml:space="preserve">To establish a unified national digital platform that enables the Government of Cameroon to plan, procure, distribute, monitor, maintain, and optimize every educational resource through its complete lifecycle while strengthening transparency, accountability, and evidence-based decision-making.</w:t>
      </w:r>
    </w:p>
    <w:p>
      <w:r>
        <w:pict>
          <v:rect style="width:0;height:1.5pt" o:hralign="center" o:hrstd="t" o:hr="t"/>
        </w:pict>
      </w:r>
    </w:p>
    <w:bookmarkEnd w:id="23"/>
    <w:bookmarkStart w:id="24" w:name="mission"/>
    <w:p>
      <w:pPr>
        <w:pStyle w:val="Heading1"/>
      </w:pPr>
      <w:r>
        <w:t xml:space="preserve">15.3 Mission</w:t>
      </w:r>
    </w:p>
    <w:p>
      <w:pPr>
        <w:pStyle w:val="FirstParagraph"/>
      </w:pPr>
      <w:r>
        <w:t xml:space="preserve">To provide the Ministry of Secondary Education with a secure, interoperable, and scalable digital ecosystem that supports efficient stewardship of educational resources across all administrative levels and all public secondary schools.</w:t>
      </w:r>
    </w:p>
    <w:p>
      <w:r>
        <w:pict>
          <v:rect style="width:0;height:1.5pt" o:hralign="center" o:hrstd="t" o:hr="t"/>
        </w:pict>
      </w:r>
    </w:p>
    <w:bookmarkEnd w:id="24"/>
    <w:bookmarkStart w:id="25" w:name="strategic-objectives"/>
    <w:p>
      <w:pPr>
        <w:pStyle w:val="Heading1"/>
      </w:pPr>
      <w:r>
        <w:t xml:space="preserve">15.4 Strategic Objectives</w:t>
      </w:r>
    </w:p>
    <w:p>
      <w:pPr>
        <w:pStyle w:val="FirstParagraph"/>
      </w:pPr>
      <w:r>
        <w:t xml:space="preserve">The platform seeks to:</w:t>
      </w:r>
    </w:p>
    <w:p>
      <w:pPr>
        <w:pStyle w:val="Compact"/>
        <w:numPr>
          <w:ilvl w:val="0"/>
          <w:numId w:val="1001"/>
        </w:numPr>
      </w:pPr>
      <w:r>
        <w:t xml:space="preserve">Digitize the complete lifecycle of educational resources.</w:t>
      </w:r>
    </w:p>
    <w:p>
      <w:pPr>
        <w:pStyle w:val="Compact"/>
        <w:numPr>
          <w:ilvl w:val="0"/>
          <w:numId w:val="1001"/>
        </w:numPr>
      </w:pPr>
      <w:r>
        <w:t xml:space="preserve">Improve transparency in public resource management.</w:t>
      </w:r>
    </w:p>
    <w:p>
      <w:pPr>
        <w:pStyle w:val="Compact"/>
        <w:numPr>
          <w:ilvl w:val="0"/>
          <w:numId w:val="1001"/>
        </w:numPr>
      </w:pPr>
      <w:r>
        <w:t xml:space="preserve">Strengthen operational accountability.</w:t>
      </w:r>
    </w:p>
    <w:p>
      <w:pPr>
        <w:pStyle w:val="Compact"/>
        <w:numPr>
          <w:ilvl w:val="0"/>
          <w:numId w:val="1001"/>
        </w:numPr>
      </w:pPr>
      <w:r>
        <w:t xml:space="preserve">Improve planning and budgeting.</w:t>
      </w:r>
    </w:p>
    <w:p>
      <w:pPr>
        <w:pStyle w:val="Compact"/>
        <w:numPr>
          <w:ilvl w:val="0"/>
          <w:numId w:val="1001"/>
        </w:numPr>
      </w:pPr>
      <w:r>
        <w:t xml:space="preserve">Support evidence-based policy decisions.</w:t>
      </w:r>
    </w:p>
    <w:p>
      <w:pPr>
        <w:pStyle w:val="Compact"/>
        <w:numPr>
          <w:ilvl w:val="0"/>
          <w:numId w:val="1001"/>
        </w:numPr>
      </w:pPr>
      <w:r>
        <w:t xml:space="preserve">Improve coordination between national, regional, divisional, and school levels.</w:t>
      </w:r>
    </w:p>
    <w:p>
      <w:pPr>
        <w:pStyle w:val="Compact"/>
        <w:numPr>
          <w:ilvl w:val="0"/>
          <w:numId w:val="1001"/>
        </w:numPr>
      </w:pPr>
      <w:r>
        <w:t xml:space="preserve">Create a single source of truth for educational assets.</w:t>
      </w:r>
    </w:p>
    <w:p>
      <w:pPr>
        <w:pStyle w:val="Compact"/>
        <w:numPr>
          <w:ilvl w:val="0"/>
          <w:numId w:val="1001"/>
        </w:numPr>
      </w:pPr>
      <w:r>
        <w:t xml:space="preserve">Establish a sustainable national digital infrastructure.</w:t>
      </w:r>
    </w:p>
    <w:p>
      <w:r>
        <w:pict>
          <v:rect style="width:0;height:1.5pt" o:hralign="center" o:hrstd="t" o:hr="t"/>
        </w:pict>
      </w:r>
    </w:p>
    <w:bookmarkEnd w:id="25"/>
    <w:bookmarkStart w:id="42" w:name="platform-evolution-roadmap"/>
    <w:p>
      <w:pPr>
        <w:pStyle w:val="Heading1"/>
      </w:pPr>
      <w:r>
        <w:t xml:space="preserve">15.5 Platform Evolution Roadmap</w:t>
      </w:r>
    </w:p>
    <w:bookmarkStart w:id="27" w:name="phase-one"/>
    <w:p>
      <w:pPr>
        <w:pStyle w:val="Heading2"/>
      </w:pPr>
      <w:r>
        <w:t xml:space="preserve">Phase One</w:t>
      </w:r>
    </w:p>
    <w:bookmarkStart w:id="26" w:name="national-textbook-lifecycle-management"/>
    <w:p>
      <w:pPr>
        <w:pStyle w:val="Heading3"/>
      </w:pPr>
      <w:r>
        <w:t xml:space="preserve">National Textbook Lifecycle Management</w:t>
      </w:r>
    </w:p>
    <w:p>
      <w:pPr>
        <w:pStyle w:val="FirstParagraph"/>
      </w:pPr>
      <w:r>
        <w:t xml:space="preserve">Modules include:</w:t>
      </w:r>
    </w:p>
    <w:p>
      <w:pPr>
        <w:pStyle w:val="Compact"/>
        <w:numPr>
          <w:ilvl w:val="0"/>
          <w:numId w:val="1002"/>
        </w:numPr>
      </w:pPr>
      <w:r>
        <w:t xml:space="preserve">Demand forecasting</w:t>
      </w:r>
    </w:p>
    <w:p>
      <w:pPr>
        <w:pStyle w:val="Compact"/>
        <w:numPr>
          <w:ilvl w:val="0"/>
          <w:numId w:val="1002"/>
        </w:numPr>
      </w:pPr>
      <w:r>
        <w:t xml:space="preserve">Procurement support</w:t>
      </w:r>
    </w:p>
    <w:p>
      <w:pPr>
        <w:pStyle w:val="Compact"/>
        <w:numPr>
          <w:ilvl w:val="0"/>
          <w:numId w:val="1002"/>
        </w:numPr>
      </w:pPr>
      <w:r>
        <w:t xml:space="preserve">Distribution tracking</w:t>
      </w:r>
    </w:p>
    <w:p>
      <w:pPr>
        <w:pStyle w:val="Compact"/>
        <w:numPr>
          <w:ilvl w:val="0"/>
          <w:numId w:val="1002"/>
        </w:numPr>
      </w:pPr>
      <w:r>
        <w:t xml:space="preserve">School inventory</w:t>
      </w:r>
    </w:p>
    <w:p>
      <w:pPr>
        <w:pStyle w:val="Compact"/>
        <w:numPr>
          <w:ilvl w:val="0"/>
          <w:numId w:val="1002"/>
        </w:numPr>
      </w:pPr>
      <w:r>
        <w:t xml:space="preserve">Student allocation</w:t>
      </w:r>
    </w:p>
    <w:p>
      <w:pPr>
        <w:pStyle w:val="Compact"/>
        <w:numPr>
          <w:ilvl w:val="0"/>
          <w:numId w:val="1002"/>
        </w:numPr>
      </w:pPr>
      <w:r>
        <w:t xml:space="preserve">Returns management</w:t>
      </w:r>
    </w:p>
    <w:p>
      <w:pPr>
        <w:pStyle w:val="Compact"/>
        <w:numPr>
          <w:ilvl w:val="0"/>
          <w:numId w:val="1002"/>
        </w:numPr>
      </w:pPr>
      <w:r>
        <w:t xml:space="preserve">Condition assessment</w:t>
      </w:r>
    </w:p>
    <w:p>
      <w:pPr>
        <w:pStyle w:val="Compact"/>
        <w:numPr>
          <w:ilvl w:val="0"/>
          <w:numId w:val="1002"/>
        </w:numPr>
      </w:pPr>
      <w:r>
        <w:t xml:space="preserve">Analytics</w:t>
      </w:r>
    </w:p>
    <w:p>
      <w:pPr>
        <w:pStyle w:val="Compact"/>
        <w:numPr>
          <w:ilvl w:val="0"/>
          <w:numId w:val="1002"/>
        </w:numPr>
      </w:pPr>
      <w:r>
        <w:t xml:space="preserve">Inspection support</w:t>
      </w:r>
    </w:p>
    <w:p>
      <w:r>
        <w:pict>
          <v:rect style="width:0;height:1.5pt" o:hralign="center" o:hrstd="t" o:hr="t"/>
        </w:pict>
      </w:r>
    </w:p>
    <w:bookmarkEnd w:id="26"/>
    <w:bookmarkEnd w:id="27"/>
    <w:bookmarkStart w:id="29" w:name="phase-two"/>
    <w:p>
      <w:pPr>
        <w:pStyle w:val="Heading2"/>
      </w:pPr>
      <w:r>
        <w:t xml:space="preserve">Phase Two</w:t>
      </w:r>
    </w:p>
    <w:bookmarkStart w:id="28" w:name="national-library-resource-management"/>
    <w:p>
      <w:pPr>
        <w:pStyle w:val="Heading3"/>
      </w:pPr>
      <w:r>
        <w:t xml:space="preserve">National Library Resource Management</w:t>
      </w:r>
    </w:p>
    <w:p>
      <w:pPr>
        <w:pStyle w:val="FirstParagraph"/>
      </w:pPr>
      <w:r>
        <w:t xml:space="preserve">Expansion to include:</w:t>
      </w:r>
    </w:p>
    <w:p>
      <w:pPr>
        <w:pStyle w:val="Compact"/>
        <w:numPr>
          <w:ilvl w:val="0"/>
          <w:numId w:val="1003"/>
        </w:numPr>
      </w:pPr>
      <w:r>
        <w:t xml:space="preserve">Library books</w:t>
      </w:r>
    </w:p>
    <w:p>
      <w:pPr>
        <w:pStyle w:val="Compact"/>
        <w:numPr>
          <w:ilvl w:val="0"/>
          <w:numId w:val="1003"/>
        </w:numPr>
      </w:pPr>
      <w:r>
        <w:t xml:space="preserve">Reference materials</w:t>
      </w:r>
    </w:p>
    <w:p>
      <w:pPr>
        <w:pStyle w:val="Compact"/>
        <w:numPr>
          <w:ilvl w:val="0"/>
          <w:numId w:val="1003"/>
        </w:numPr>
      </w:pPr>
      <w:r>
        <w:t xml:space="preserve">Digital resources</w:t>
      </w:r>
    </w:p>
    <w:p>
      <w:pPr>
        <w:pStyle w:val="Compact"/>
        <w:numPr>
          <w:ilvl w:val="0"/>
          <w:numId w:val="1003"/>
        </w:numPr>
      </w:pPr>
      <w:r>
        <w:t xml:space="preserve">Borrowing records</w:t>
      </w:r>
    </w:p>
    <w:p>
      <w:pPr>
        <w:pStyle w:val="Compact"/>
        <w:numPr>
          <w:ilvl w:val="0"/>
          <w:numId w:val="1003"/>
        </w:numPr>
      </w:pPr>
      <w:r>
        <w:t xml:space="preserve">Reading statistics</w:t>
      </w:r>
    </w:p>
    <w:p>
      <w:pPr>
        <w:pStyle w:val="Compact"/>
        <w:numPr>
          <w:ilvl w:val="0"/>
          <w:numId w:val="1003"/>
        </w:numPr>
      </w:pPr>
      <w:r>
        <w:t xml:space="preserve">Library inventory</w:t>
      </w:r>
    </w:p>
    <w:p>
      <w:r>
        <w:pict>
          <v:rect style="width:0;height:1.5pt" o:hralign="center" o:hrstd="t" o:hr="t"/>
        </w:pict>
      </w:r>
    </w:p>
    <w:bookmarkEnd w:id="28"/>
    <w:bookmarkEnd w:id="29"/>
    <w:bookmarkStart w:id="31" w:name="phase-three"/>
    <w:p>
      <w:pPr>
        <w:pStyle w:val="Heading2"/>
      </w:pPr>
      <w:r>
        <w:t xml:space="preserve">Phase Three</w:t>
      </w:r>
    </w:p>
    <w:bookmarkStart w:id="30" w:name="national-laboratory-resource-management"/>
    <w:p>
      <w:pPr>
        <w:pStyle w:val="Heading3"/>
      </w:pPr>
      <w:r>
        <w:t xml:space="preserve">National Laboratory Resource Management</w:t>
      </w:r>
    </w:p>
    <w:p>
      <w:pPr>
        <w:pStyle w:val="FirstParagraph"/>
      </w:pPr>
      <w:r>
        <w:t xml:space="preserve">Management of:</w:t>
      </w:r>
    </w:p>
    <w:p>
      <w:pPr>
        <w:pStyle w:val="Compact"/>
        <w:numPr>
          <w:ilvl w:val="0"/>
          <w:numId w:val="1004"/>
        </w:numPr>
      </w:pPr>
      <w:r>
        <w:t xml:space="preserve">Laboratory equipment</w:t>
      </w:r>
    </w:p>
    <w:p>
      <w:pPr>
        <w:pStyle w:val="Compact"/>
        <w:numPr>
          <w:ilvl w:val="0"/>
          <w:numId w:val="1004"/>
        </w:numPr>
      </w:pPr>
      <w:r>
        <w:t xml:space="preserve">Chemicals</w:t>
      </w:r>
    </w:p>
    <w:p>
      <w:pPr>
        <w:pStyle w:val="Compact"/>
        <w:numPr>
          <w:ilvl w:val="0"/>
          <w:numId w:val="1004"/>
        </w:numPr>
      </w:pPr>
      <w:r>
        <w:t xml:space="preserve">Glassware</w:t>
      </w:r>
    </w:p>
    <w:p>
      <w:pPr>
        <w:pStyle w:val="Compact"/>
        <w:numPr>
          <w:ilvl w:val="0"/>
          <w:numId w:val="1004"/>
        </w:numPr>
      </w:pPr>
      <w:r>
        <w:t xml:space="preserve">Safety equipment</w:t>
      </w:r>
    </w:p>
    <w:p>
      <w:pPr>
        <w:pStyle w:val="Compact"/>
        <w:numPr>
          <w:ilvl w:val="0"/>
          <w:numId w:val="1004"/>
        </w:numPr>
      </w:pPr>
      <w:r>
        <w:t xml:space="preserve">Maintenance schedules</w:t>
      </w:r>
    </w:p>
    <w:p>
      <w:pPr>
        <w:pStyle w:val="Compact"/>
        <w:numPr>
          <w:ilvl w:val="0"/>
          <w:numId w:val="1004"/>
        </w:numPr>
      </w:pPr>
      <w:r>
        <w:t xml:space="preserve">Consumable inventory</w:t>
      </w:r>
    </w:p>
    <w:p>
      <w:r>
        <w:pict>
          <v:rect style="width:0;height:1.5pt" o:hralign="center" o:hrstd="t" o:hr="t"/>
        </w:pict>
      </w:r>
    </w:p>
    <w:bookmarkEnd w:id="30"/>
    <w:bookmarkEnd w:id="31"/>
    <w:bookmarkStart w:id="33" w:name="phase-four"/>
    <w:p>
      <w:pPr>
        <w:pStyle w:val="Heading2"/>
      </w:pPr>
      <w:r>
        <w:t xml:space="preserve">Phase Four</w:t>
      </w:r>
    </w:p>
    <w:bookmarkStart w:id="32" w:name="national-ict-asset-management"/>
    <w:p>
      <w:pPr>
        <w:pStyle w:val="Heading3"/>
      </w:pPr>
      <w:r>
        <w:t xml:space="preserve">National ICT Asset Management</w:t>
      </w:r>
    </w:p>
    <w:p>
      <w:pPr>
        <w:pStyle w:val="FirstParagraph"/>
      </w:pPr>
      <w:r>
        <w:t xml:space="preserve">Management of:</w:t>
      </w:r>
    </w:p>
    <w:p>
      <w:pPr>
        <w:pStyle w:val="Compact"/>
        <w:numPr>
          <w:ilvl w:val="0"/>
          <w:numId w:val="1005"/>
        </w:numPr>
      </w:pPr>
      <w:r>
        <w:t xml:space="preserve">Computers</w:t>
      </w:r>
    </w:p>
    <w:p>
      <w:pPr>
        <w:pStyle w:val="Compact"/>
        <w:numPr>
          <w:ilvl w:val="0"/>
          <w:numId w:val="1005"/>
        </w:numPr>
      </w:pPr>
      <w:r>
        <w:t xml:space="preserve">Tablets</w:t>
      </w:r>
    </w:p>
    <w:p>
      <w:pPr>
        <w:pStyle w:val="Compact"/>
        <w:numPr>
          <w:ilvl w:val="0"/>
          <w:numId w:val="1005"/>
        </w:numPr>
      </w:pPr>
      <w:r>
        <w:t xml:space="preserve">Projectors</w:t>
      </w:r>
    </w:p>
    <w:p>
      <w:pPr>
        <w:pStyle w:val="Compact"/>
        <w:numPr>
          <w:ilvl w:val="0"/>
          <w:numId w:val="1005"/>
        </w:numPr>
      </w:pPr>
      <w:r>
        <w:t xml:space="preserve">Interactive boards</w:t>
      </w:r>
    </w:p>
    <w:p>
      <w:pPr>
        <w:pStyle w:val="Compact"/>
        <w:numPr>
          <w:ilvl w:val="0"/>
          <w:numId w:val="1005"/>
        </w:numPr>
      </w:pPr>
      <w:r>
        <w:t xml:space="preserve">Printers</w:t>
      </w:r>
    </w:p>
    <w:p>
      <w:pPr>
        <w:pStyle w:val="Compact"/>
        <w:numPr>
          <w:ilvl w:val="0"/>
          <w:numId w:val="1005"/>
        </w:numPr>
      </w:pPr>
      <w:r>
        <w:t xml:space="preserve">Network equipment</w:t>
      </w:r>
    </w:p>
    <w:p>
      <w:pPr>
        <w:pStyle w:val="Compact"/>
        <w:numPr>
          <w:ilvl w:val="0"/>
          <w:numId w:val="1005"/>
        </w:numPr>
      </w:pPr>
      <w:r>
        <w:t xml:space="preserve">Software licences</w:t>
      </w:r>
    </w:p>
    <w:p>
      <w:r>
        <w:pict>
          <v:rect style="width:0;height:1.5pt" o:hralign="center" o:hrstd="t" o:hr="t"/>
        </w:pict>
      </w:r>
    </w:p>
    <w:bookmarkEnd w:id="32"/>
    <w:bookmarkEnd w:id="33"/>
    <w:bookmarkStart w:id="35" w:name="phase-five"/>
    <w:p>
      <w:pPr>
        <w:pStyle w:val="Heading2"/>
      </w:pPr>
      <w:r>
        <w:t xml:space="preserve">Phase Five</w:t>
      </w:r>
    </w:p>
    <w:bookmarkStart w:id="34" w:name="school-infrastructure-management"/>
    <w:p>
      <w:pPr>
        <w:pStyle w:val="Heading3"/>
      </w:pPr>
      <w:r>
        <w:t xml:space="preserve">School Infrastructure Management</w:t>
      </w:r>
    </w:p>
    <w:p>
      <w:pPr>
        <w:pStyle w:val="FirstParagraph"/>
      </w:pPr>
      <w:r>
        <w:t xml:space="preserve">Monitoring of:</w:t>
      </w:r>
    </w:p>
    <w:p>
      <w:pPr>
        <w:pStyle w:val="Compact"/>
        <w:numPr>
          <w:ilvl w:val="0"/>
          <w:numId w:val="1006"/>
        </w:numPr>
      </w:pPr>
      <w:r>
        <w:t xml:space="preserve">Classrooms</w:t>
      </w:r>
    </w:p>
    <w:p>
      <w:pPr>
        <w:pStyle w:val="Compact"/>
        <w:numPr>
          <w:ilvl w:val="0"/>
          <w:numId w:val="1006"/>
        </w:numPr>
      </w:pPr>
      <w:r>
        <w:t xml:space="preserve">Administration buildings</w:t>
      </w:r>
    </w:p>
    <w:p>
      <w:pPr>
        <w:pStyle w:val="Compact"/>
        <w:numPr>
          <w:ilvl w:val="0"/>
          <w:numId w:val="1006"/>
        </w:numPr>
      </w:pPr>
      <w:r>
        <w:t xml:space="preserve">Laboratories</w:t>
      </w:r>
    </w:p>
    <w:p>
      <w:pPr>
        <w:pStyle w:val="Compact"/>
        <w:numPr>
          <w:ilvl w:val="0"/>
          <w:numId w:val="1006"/>
        </w:numPr>
      </w:pPr>
      <w:r>
        <w:t xml:space="preserve">Libraries</w:t>
      </w:r>
    </w:p>
    <w:p>
      <w:pPr>
        <w:pStyle w:val="Compact"/>
        <w:numPr>
          <w:ilvl w:val="0"/>
          <w:numId w:val="1006"/>
        </w:numPr>
      </w:pPr>
      <w:r>
        <w:t xml:space="preserve">Dormitories</w:t>
      </w:r>
    </w:p>
    <w:p>
      <w:pPr>
        <w:pStyle w:val="Compact"/>
        <w:numPr>
          <w:ilvl w:val="0"/>
          <w:numId w:val="1006"/>
        </w:numPr>
      </w:pPr>
      <w:r>
        <w:t xml:space="preserve">Water systems</w:t>
      </w:r>
    </w:p>
    <w:p>
      <w:pPr>
        <w:pStyle w:val="Compact"/>
        <w:numPr>
          <w:ilvl w:val="0"/>
          <w:numId w:val="1006"/>
        </w:numPr>
      </w:pPr>
      <w:r>
        <w:t xml:space="preserve">Sanitation facilities</w:t>
      </w:r>
    </w:p>
    <w:p>
      <w:pPr>
        <w:pStyle w:val="Compact"/>
        <w:numPr>
          <w:ilvl w:val="0"/>
          <w:numId w:val="1006"/>
        </w:numPr>
      </w:pPr>
      <w:r>
        <w:t xml:space="preserve">Electricity</w:t>
      </w:r>
    </w:p>
    <w:p>
      <w:pPr>
        <w:pStyle w:val="Compact"/>
        <w:numPr>
          <w:ilvl w:val="0"/>
          <w:numId w:val="1006"/>
        </w:numPr>
      </w:pPr>
      <w:r>
        <w:t xml:space="preserve">Internet connectivity</w:t>
      </w:r>
    </w:p>
    <w:p>
      <w:r>
        <w:pict>
          <v:rect style="width:0;height:1.5pt" o:hralign="center" o:hrstd="t" o:hr="t"/>
        </w:pict>
      </w:r>
    </w:p>
    <w:bookmarkEnd w:id="34"/>
    <w:bookmarkEnd w:id="35"/>
    <w:bookmarkStart w:id="37" w:name="phase-six"/>
    <w:p>
      <w:pPr>
        <w:pStyle w:val="Heading2"/>
      </w:pPr>
      <w:r>
        <w:t xml:space="preserve">Phase Six</w:t>
      </w:r>
    </w:p>
    <w:bookmarkStart w:id="36" w:name="school-furniture-management"/>
    <w:p>
      <w:pPr>
        <w:pStyle w:val="Heading3"/>
      </w:pPr>
      <w:r>
        <w:t xml:space="preserve">School Furniture Management</w:t>
      </w:r>
    </w:p>
    <w:p>
      <w:pPr>
        <w:pStyle w:val="FirstParagraph"/>
      </w:pPr>
      <w:r>
        <w:t xml:space="preserve">Tracking:</w:t>
      </w:r>
    </w:p>
    <w:p>
      <w:pPr>
        <w:pStyle w:val="Compact"/>
        <w:numPr>
          <w:ilvl w:val="0"/>
          <w:numId w:val="1007"/>
        </w:numPr>
      </w:pPr>
      <w:r>
        <w:t xml:space="preserve">Desks</w:t>
      </w:r>
    </w:p>
    <w:p>
      <w:pPr>
        <w:pStyle w:val="Compact"/>
        <w:numPr>
          <w:ilvl w:val="0"/>
          <w:numId w:val="1007"/>
        </w:numPr>
      </w:pPr>
      <w:r>
        <w:t xml:space="preserve">Chairs</w:t>
      </w:r>
    </w:p>
    <w:p>
      <w:pPr>
        <w:pStyle w:val="Compact"/>
        <w:numPr>
          <w:ilvl w:val="0"/>
          <w:numId w:val="1007"/>
        </w:numPr>
      </w:pPr>
      <w:r>
        <w:t xml:space="preserve">Cabinets</w:t>
      </w:r>
    </w:p>
    <w:p>
      <w:pPr>
        <w:pStyle w:val="Compact"/>
        <w:numPr>
          <w:ilvl w:val="0"/>
          <w:numId w:val="1007"/>
        </w:numPr>
      </w:pPr>
      <w:r>
        <w:t xml:space="preserve">Shelving</w:t>
      </w:r>
    </w:p>
    <w:p>
      <w:pPr>
        <w:pStyle w:val="Compact"/>
        <w:numPr>
          <w:ilvl w:val="0"/>
          <w:numId w:val="1007"/>
        </w:numPr>
      </w:pPr>
      <w:r>
        <w:t xml:space="preserve">Office furniture</w:t>
      </w:r>
    </w:p>
    <w:p>
      <w:pPr>
        <w:pStyle w:val="Compact"/>
        <w:numPr>
          <w:ilvl w:val="0"/>
          <w:numId w:val="1007"/>
        </w:numPr>
      </w:pPr>
      <w:r>
        <w:t xml:space="preserve">Classroom furniture</w:t>
      </w:r>
    </w:p>
    <w:p>
      <w:r>
        <w:pict>
          <v:rect style="width:0;height:1.5pt" o:hralign="center" o:hrstd="t" o:hr="t"/>
        </w:pict>
      </w:r>
    </w:p>
    <w:bookmarkEnd w:id="36"/>
    <w:bookmarkEnd w:id="37"/>
    <w:bookmarkStart w:id="39" w:name="phase-seven"/>
    <w:p>
      <w:pPr>
        <w:pStyle w:val="Heading2"/>
      </w:pPr>
      <w:r>
        <w:t xml:space="preserve">Phase Seven</w:t>
      </w:r>
    </w:p>
    <w:bookmarkStart w:id="38" w:name="transport-and-logistics-management"/>
    <w:p>
      <w:pPr>
        <w:pStyle w:val="Heading3"/>
      </w:pPr>
      <w:r>
        <w:t xml:space="preserve">Transport and Logistics Management</w:t>
      </w:r>
    </w:p>
    <w:p>
      <w:pPr>
        <w:pStyle w:val="FirstParagraph"/>
      </w:pPr>
      <w:r>
        <w:t xml:space="preserve">Management of:</w:t>
      </w:r>
    </w:p>
    <w:p>
      <w:pPr>
        <w:pStyle w:val="Compact"/>
        <w:numPr>
          <w:ilvl w:val="0"/>
          <w:numId w:val="1008"/>
        </w:numPr>
      </w:pPr>
      <w:r>
        <w:t xml:space="preserve">School buses</w:t>
      </w:r>
    </w:p>
    <w:p>
      <w:pPr>
        <w:pStyle w:val="Compact"/>
        <w:numPr>
          <w:ilvl w:val="0"/>
          <w:numId w:val="1008"/>
        </w:numPr>
      </w:pPr>
      <w:r>
        <w:t xml:space="preserve">Ministry vehicles</w:t>
      </w:r>
    </w:p>
    <w:p>
      <w:pPr>
        <w:pStyle w:val="Compact"/>
        <w:numPr>
          <w:ilvl w:val="0"/>
          <w:numId w:val="1008"/>
        </w:numPr>
      </w:pPr>
      <w:r>
        <w:t xml:space="preserve">Distribution vehicles</w:t>
      </w:r>
    </w:p>
    <w:p>
      <w:pPr>
        <w:pStyle w:val="Compact"/>
        <w:numPr>
          <w:ilvl w:val="0"/>
          <w:numId w:val="1008"/>
        </w:numPr>
      </w:pPr>
      <w:r>
        <w:t xml:space="preserve">Fuel records</w:t>
      </w:r>
    </w:p>
    <w:p>
      <w:pPr>
        <w:pStyle w:val="Compact"/>
        <w:numPr>
          <w:ilvl w:val="0"/>
          <w:numId w:val="1008"/>
        </w:numPr>
      </w:pPr>
      <w:r>
        <w:t xml:space="preserve">Maintenance</w:t>
      </w:r>
    </w:p>
    <w:p>
      <w:pPr>
        <w:pStyle w:val="Compact"/>
        <w:numPr>
          <w:ilvl w:val="0"/>
          <w:numId w:val="1008"/>
        </w:numPr>
      </w:pPr>
      <w:r>
        <w:t xml:space="preserve">Driver assignments</w:t>
      </w:r>
    </w:p>
    <w:p>
      <w:r>
        <w:pict>
          <v:rect style="width:0;height:1.5pt" o:hralign="center" o:hrstd="t" o:hr="t"/>
        </w:pict>
      </w:r>
    </w:p>
    <w:bookmarkEnd w:id="38"/>
    <w:bookmarkEnd w:id="39"/>
    <w:bookmarkStart w:id="41" w:name="phase-eight"/>
    <w:p>
      <w:pPr>
        <w:pStyle w:val="Heading2"/>
      </w:pPr>
      <w:r>
        <w:t xml:space="preserve">Phase Eight</w:t>
      </w:r>
    </w:p>
    <w:bookmarkStart w:id="40" w:name="national-education-resource-intelligence"/>
    <w:p>
      <w:pPr>
        <w:pStyle w:val="Heading3"/>
      </w:pPr>
      <w:r>
        <w:t xml:space="preserve">National Education Resource Intelligence</w:t>
      </w:r>
    </w:p>
    <w:p>
      <w:pPr>
        <w:pStyle w:val="FirstParagraph"/>
      </w:pPr>
      <w:r>
        <w:t xml:space="preserve">Integration of information from every module into a unified national decision-support environment.</w:t>
      </w:r>
    </w:p>
    <w:p>
      <w:r>
        <w:pict>
          <v:rect style="width:0;height:1.5pt" o:hralign="center" o:hrstd="t" o:hr="t"/>
        </w:pict>
      </w:r>
    </w:p>
    <w:bookmarkEnd w:id="40"/>
    <w:bookmarkEnd w:id="41"/>
    <w:bookmarkEnd w:id="42"/>
    <w:bookmarkStart w:id="43" w:name="unified-national-dashboard"/>
    <w:p>
      <w:pPr>
        <w:pStyle w:val="Heading1"/>
      </w:pPr>
      <w:r>
        <w:t xml:space="preserve">15.6 Unified National Dashboard</w:t>
      </w:r>
    </w:p>
    <w:p>
      <w:pPr>
        <w:pStyle w:val="FirstParagraph"/>
      </w:pPr>
      <w:r>
        <w:t xml:space="preserve">The Ministry will be able to monitor educational resources from a single platform.</w:t>
      </w:r>
    </w:p>
    <w:p>
      <w:pPr>
        <w:pStyle w:val="SourceCode"/>
      </w:pPr>
      <w:r>
        <w:rPr>
          <w:rStyle w:val="VerbatimChar"/>
        </w:rPr>
        <w:t xml:space="preserve">NATIONAL EDUCATION RESOURCE INTELLIGENCE PLATFORM</w:t>
      </w:r>
      <w:r>
        <w:br/>
      </w:r>
      <w:r>
        <w:br/>
      </w:r>
      <w:r>
        <w:rPr>
          <w:rStyle w:val="VerbatimChar"/>
        </w:rPr>
        <w:t xml:space="preserve">Students</w:t>
      </w:r>
      <w:r>
        <w:br/>
      </w:r>
      <w:r>
        <w:rPr>
          <w:rStyle w:val="VerbatimChar"/>
        </w:rPr>
        <w:t xml:space="preserve">│</w:t>
      </w:r>
      <w:r>
        <w:br/>
      </w:r>
      <w:r>
        <w:rPr>
          <w:rStyle w:val="VerbatimChar"/>
        </w:rPr>
        <w:t xml:space="preserve">Teachers</w:t>
      </w:r>
      <w:r>
        <w:br/>
      </w:r>
      <w:r>
        <w:rPr>
          <w:rStyle w:val="VerbatimChar"/>
        </w:rPr>
        <w:t xml:space="preserve">│</w:t>
      </w:r>
      <w:r>
        <w:br/>
      </w:r>
      <w:r>
        <w:rPr>
          <w:rStyle w:val="VerbatimChar"/>
        </w:rPr>
        <w:t xml:space="preserve">Textbooks</w:t>
      </w:r>
      <w:r>
        <w:br/>
      </w:r>
      <w:r>
        <w:rPr>
          <w:rStyle w:val="VerbatimChar"/>
        </w:rPr>
        <w:t xml:space="preserve">│</w:t>
      </w:r>
      <w:r>
        <w:br/>
      </w:r>
      <w:r>
        <w:rPr>
          <w:rStyle w:val="VerbatimChar"/>
        </w:rPr>
        <w:t xml:space="preserve">Libraries</w:t>
      </w:r>
      <w:r>
        <w:br/>
      </w:r>
      <w:r>
        <w:rPr>
          <w:rStyle w:val="VerbatimChar"/>
        </w:rPr>
        <w:t xml:space="preserve">│</w:t>
      </w:r>
      <w:r>
        <w:br/>
      </w:r>
      <w:r>
        <w:rPr>
          <w:rStyle w:val="VerbatimChar"/>
        </w:rPr>
        <w:t xml:space="preserve">Laboratories</w:t>
      </w:r>
      <w:r>
        <w:br/>
      </w:r>
      <w:r>
        <w:rPr>
          <w:rStyle w:val="VerbatimChar"/>
        </w:rPr>
        <w:t xml:space="preserve">│</w:t>
      </w:r>
      <w:r>
        <w:br/>
      </w:r>
      <w:r>
        <w:rPr>
          <w:rStyle w:val="VerbatimChar"/>
        </w:rPr>
        <w:t xml:space="preserve">ICT Equipment</w:t>
      </w:r>
      <w:r>
        <w:br/>
      </w:r>
      <w:r>
        <w:rPr>
          <w:rStyle w:val="VerbatimChar"/>
        </w:rPr>
        <w:t xml:space="preserve">│</w:t>
      </w:r>
      <w:r>
        <w:br/>
      </w:r>
      <w:r>
        <w:rPr>
          <w:rStyle w:val="VerbatimChar"/>
        </w:rPr>
        <w:t xml:space="preserve">Furniture</w:t>
      </w:r>
      <w:r>
        <w:br/>
      </w:r>
      <w:r>
        <w:rPr>
          <w:rStyle w:val="VerbatimChar"/>
        </w:rPr>
        <w:t xml:space="preserve">│</w:t>
      </w:r>
      <w:r>
        <w:br/>
      </w:r>
      <w:r>
        <w:rPr>
          <w:rStyle w:val="VerbatimChar"/>
        </w:rPr>
        <w:t xml:space="preserve">Infrastructure</w:t>
      </w:r>
      <w:r>
        <w:br/>
      </w:r>
      <w:r>
        <w:rPr>
          <w:rStyle w:val="VerbatimChar"/>
        </w:rPr>
        <w:t xml:space="preserve">│</w:t>
      </w:r>
      <w:r>
        <w:br/>
      </w:r>
      <w:r>
        <w:rPr>
          <w:rStyle w:val="VerbatimChar"/>
        </w:rPr>
        <w:t xml:space="preserve">Vehicles</w:t>
      </w:r>
      <w:r>
        <w:br/>
      </w:r>
      <w:r>
        <w:rPr>
          <w:rStyle w:val="VerbatimChar"/>
        </w:rPr>
        <w:t xml:space="preserve">│</w:t>
      </w:r>
      <w:r>
        <w:br/>
      </w:r>
      <w:r>
        <w:rPr>
          <w:rStyle w:val="VerbatimChar"/>
        </w:rPr>
        <w:t xml:space="preserve">Warehouses</w:t>
      </w:r>
      <w:r>
        <w:br/>
      </w:r>
      <w:r>
        <w:rPr>
          <w:rStyle w:val="VerbatimChar"/>
        </w:rPr>
        <w:t xml:space="preserve">│</w:t>
      </w:r>
      <w:r>
        <w:br/>
      </w:r>
      <w:r>
        <w:rPr>
          <w:rStyle w:val="VerbatimChar"/>
        </w:rPr>
        <w:t xml:space="preserve">Procurement</w:t>
      </w:r>
      <w:r>
        <w:br/>
      </w:r>
      <w:r>
        <w:rPr>
          <w:rStyle w:val="VerbatimChar"/>
        </w:rPr>
        <w:t xml:space="preserve">│</w:t>
      </w:r>
      <w:r>
        <w:br/>
      </w:r>
      <w:r>
        <w:rPr>
          <w:rStyle w:val="VerbatimChar"/>
        </w:rPr>
        <w:t xml:space="preserve">Distribution</w:t>
      </w:r>
      <w:r>
        <w:br/>
      </w:r>
      <w:r>
        <w:rPr>
          <w:rStyle w:val="VerbatimChar"/>
        </w:rPr>
        <w:t xml:space="preserve">│</w:t>
      </w:r>
      <w:r>
        <w:br/>
      </w:r>
      <w:r>
        <w:rPr>
          <w:rStyle w:val="VerbatimChar"/>
        </w:rPr>
        <w:t xml:space="preserve">Inspection</w:t>
      </w:r>
      <w:r>
        <w:br/>
      </w:r>
      <w:r>
        <w:rPr>
          <w:rStyle w:val="VerbatimChar"/>
        </w:rPr>
        <w:t xml:space="preserve">│</w:t>
      </w:r>
      <w:r>
        <w:br/>
      </w:r>
      <w:r>
        <w:rPr>
          <w:rStyle w:val="VerbatimChar"/>
        </w:rPr>
        <w:t xml:space="preserve">Maintenance</w:t>
      </w:r>
      <w:r>
        <w:br/>
      </w:r>
      <w:r>
        <w:rPr>
          <w:rStyle w:val="VerbatimChar"/>
        </w:rPr>
        <w:t xml:space="preserve">│</w:t>
      </w:r>
      <w:r>
        <w:br/>
      </w:r>
      <w:r>
        <w:rPr>
          <w:rStyle w:val="VerbatimChar"/>
        </w:rPr>
        <w:t xml:space="preserve">Analytics</w:t>
      </w:r>
      <w:r>
        <w:br/>
      </w:r>
      <w:r>
        <w:rPr>
          <w:rStyle w:val="VerbatimChar"/>
        </w:rPr>
        <w:t xml:space="preserve">│</w:t>
      </w:r>
      <w:r>
        <w:br/>
      </w:r>
      <w:r>
        <w:rPr>
          <w:rStyle w:val="VerbatimChar"/>
        </w:rPr>
        <w:t xml:space="preserve">National Decision Dashboard</w:t>
      </w:r>
    </w:p>
    <w:p>
      <w:r>
        <w:pict>
          <v:rect style="width:0;height:1.5pt" o:hralign="center" o:hrstd="t" o:hr="t"/>
        </w:pict>
      </w:r>
    </w:p>
    <w:bookmarkEnd w:id="43"/>
    <w:bookmarkStart w:id="49" w:name="executive-decision-dashboards"/>
    <w:p>
      <w:pPr>
        <w:pStyle w:val="Heading1"/>
      </w:pPr>
      <w:r>
        <w:t xml:space="preserve">15.7 Executive Decision Dashboards</w:t>
      </w:r>
    </w:p>
    <w:p>
      <w:pPr>
        <w:pStyle w:val="FirstParagraph"/>
      </w:pPr>
      <w:r>
        <w:t xml:space="preserve">Senior officials will have access to role-based dashboards that provide timely operational information.</w:t>
      </w:r>
    </w:p>
    <w:p>
      <w:pPr>
        <w:pStyle w:val="BodyText"/>
      </w:pPr>
      <w:r>
        <w:t xml:space="preserve">Examples include:</w:t>
      </w:r>
    </w:p>
    <w:bookmarkStart w:id="44" w:name="resource-availability"/>
    <w:p>
      <w:pPr>
        <w:pStyle w:val="Heading3"/>
      </w:pPr>
      <w:r>
        <w:t xml:space="preserve">Resource Availability</w:t>
      </w:r>
    </w:p>
    <w:p>
      <w:pPr>
        <w:pStyle w:val="Compact"/>
        <w:numPr>
          <w:ilvl w:val="0"/>
          <w:numId w:val="1009"/>
        </w:numPr>
      </w:pPr>
      <w:r>
        <w:t xml:space="preserve">Textbook availability by subject.</w:t>
      </w:r>
    </w:p>
    <w:p>
      <w:pPr>
        <w:pStyle w:val="Compact"/>
        <w:numPr>
          <w:ilvl w:val="0"/>
          <w:numId w:val="1009"/>
        </w:numPr>
      </w:pPr>
      <w:r>
        <w:t xml:space="preserve">Laboratory readiness.</w:t>
      </w:r>
    </w:p>
    <w:p>
      <w:pPr>
        <w:pStyle w:val="Compact"/>
        <w:numPr>
          <w:ilvl w:val="0"/>
          <w:numId w:val="1009"/>
        </w:numPr>
      </w:pPr>
      <w:r>
        <w:t xml:space="preserve">ICT equipment distribution.</w:t>
      </w:r>
    </w:p>
    <w:p>
      <w:pPr>
        <w:pStyle w:val="Compact"/>
        <w:numPr>
          <w:ilvl w:val="0"/>
          <w:numId w:val="1009"/>
        </w:numPr>
      </w:pPr>
      <w:r>
        <w:t xml:space="preserve">Library stock.</w:t>
      </w:r>
    </w:p>
    <w:p>
      <w:pPr>
        <w:pStyle w:val="Compact"/>
        <w:numPr>
          <w:ilvl w:val="0"/>
          <w:numId w:val="1009"/>
        </w:numPr>
      </w:pPr>
      <w:r>
        <w:t xml:space="preserve">Furniture availability.</w:t>
      </w:r>
    </w:p>
    <w:bookmarkEnd w:id="44"/>
    <w:bookmarkStart w:id="45" w:name="logistics"/>
    <w:p>
      <w:pPr>
        <w:pStyle w:val="Heading3"/>
      </w:pPr>
      <w:r>
        <w:t xml:space="preserve">Logistics</w:t>
      </w:r>
    </w:p>
    <w:p>
      <w:pPr>
        <w:pStyle w:val="Compact"/>
        <w:numPr>
          <w:ilvl w:val="0"/>
          <w:numId w:val="1010"/>
        </w:numPr>
      </w:pPr>
      <w:r>
        <w:t xml:space="preserve">Distribution progress.</w:t>
      </w:r>
    </w:p>
    <w:p>
      <w:pPr>
        <w:pStyle w:val="Compact"/>
        <w:numPr>
          <w:ilvl w:val="0"/>
          <w:numId w:val="1010"/>
        </w:numPr>
      </w:pPr>
      <w:r>
        <w:t xml:space="preserve">Warehousing status.</w:t>
      </w:r>
    </w:p>
    <w:p>
      <w:pPr>
        <w:pStyle w:val="Compact"/>
        <w:numPr>
          <w:ilvl w:val="0"/>
          <w:numId w:val="1010"/>
        </w:numPr>
      </w:pPr>
      <w:r>
        <w:t xml:space="preserve">Pending deliveries.</w:t>
      </w:r>
    </w:p>
    <w:p>
      <w:pPr>
        <w:pStyle w:val="Compact"/>
        <w:numPr>
          <w:ilvl w:val="0"/>
          <w:numId w:val="1010"/>
        </w:numPr>
      </w:pPr>
      <w:r>
        <w:t xml:space="preserve">Redistribution requests.</w:t>
      </w:r>
    </w:p>
    <w:bookmarkEnd w:id="45"/>
    <w:bookmarkStart w:id="46" w:name="asset-health"/>
    <w:p>
      <w:pPr>
        <w:pStyle w:val="Heading3"/>
      </w:pPr>
      <w:r>
        <w:t xml:space="preserve">Asset Health</w:t>
      </w:r>
    </w:p>
    <w:p>
      <w:pPr>
        <w:pStyle w:val="Compact"/>
        <w:numPr>
          <w:ilvl w:val="0"/>
          <w:numId w:val="1011"/>
        </w:numPr>
      </w:pPr>
      <w:r>
        <w:t xml:space="preserve">Equipment requiring maintenance.</w:t>
      </w:r>
    </w:p>
    <w:p>
      <w:pPr>
        <w:pStyle w:val="Compact"/>
        <w:numPr>
          <w:ilvl w:val="0"/>
          <w:numId w:val="1011"/>
        </w:numPr>
      </w:pPr>
      <w:r>
        <w:t xml:space="preserve">Assets nearing replacement.</w:t>
      </w:r>
    </w:p>
    <w:p>
      <w:pPr>
        <w:pStyle w:val="Compact"/>
        <w:numPr>
          <w:ilvl w:val="0"/>
          <w:numId w:val="1011"/>
        </w:numPr>
      </w:pPr>
      <w:r>
        <w:t xml:space="preserve">Damaged resources.</w:t>
      </w:r>
    </w:p>
    <w:p>
      <w:pPr>
        <w:pStyle w:val="Compact"/>
        <w:numPr>
          <w:ilvl w:val="0"/>
          <w:numId w:val="1011"/>
        </w:numPr>
      </w:pPr>
      <w:r>
        <w:t xml:space="preserve">Lost resources.</w:t>
      </w:r>
    </w:p>
    <w:bookmarkEnd w:id="46"/>
    <w:bookmarkStart w:id="47" w:name="planning"/>
    <w:p>
      <w:pPr>
        <w:pStyle w:val="Heading3"/>
      </w:pPr>
      <w:r>
        <w:t xml:space="preserve">Planning</w:t>
      </w:r>
    </w:p>
    <w:p>
      <w:pPr>
        <w:pStyle w:val="Compact"/>
        <w:numPr>
          <w:ilvl w:val="0"/>
          <w:numId w:val="1012"/>
        </w:numPr>
      </w:pPr>
      <w:r>
        <w:t xml:space="preserve">Procurement forecasts.</w:t>
      </w:r>
    </w:p>
    <w:p>
      <w:pPr>
        <w:pStyle w:val="Compact"/>
        <w:numPr>
          <w:ilvl w:val="0"/>
          <w:numId w:val="1012"/>
        </w:numPr>
      </w:pPr>
      <w:r>
        <w:t xml:space="preserve">Five-year replacement forecasts.</w:t>
      </w:r>
    </w:p>
    <w:p>
      <w:pPr>
        <w:pStyle w:val="Compact"/>
        <w:numPr>
          <w:ilvl w:val="0"/>
          <w:numId w:val="1012"/>
        </w:numPr>
      </w:pPr>
      <w:r>
        <w:t xml:space="preserve">Budget projections.</w:t>
      </w:r>
    </w:p>
    <w:p>
      <w:pPr>
        <w:pStyle w:val="Compact"/>
        <w:numPr>
          <w:ilvl w:val="0"/>
          <w:numId w:val="1012"/>
        </w:numPr>
      </w:pPr>
      <w:r>
        <w:t xml:space="preserve">Regional demand analysis.</w:t>
      </w:r>
    </w:p>
    <w:bookmarkEnd w:id="47"/>
    <w:bookmarkStart w:id="48" w:name="performance"/>
    <w:p>
      <w:pPr>
        <w:pStyle w:val="Heading3"/>
      </w:pPr>
      <w:r>
        <w:t xml:space="preserve">Performance</w:t>
      </w:r>
    </w:p>
    <w:p>
      <w:pPr>
        <w:pStyle w:val="Compact"/>
        <w:numPr>
          <w:ilvl w:val="0"/>
          <w:numId w:val="1013"/>
        </w:numPr>
      </w:pPr>
      <w:r>
        <w:t xml:space="preserve">Reporting compliance.</w:t>
      </w:r>
    </w:p>
    <w:p>
      <w:pPr>
        <w:pStyle w:val="Compact"/>
        <w:numPr>
          <w:ilvl w:val="0"/>
          <w:numId w:val="1013"/>
        </w:numPr>
      </w:pPr>
      <w:r>
        <w:t xml:space="preserve">Inspection coverage.</w:t>
      </w:r>
    </w:p>
    <w:p>
      <w:pPr>
        <w:pStyle w:val="Compact"/>
        <w:numPr>
          <w:ilvl w:val="0"/>
          <w:numId w:val="1013"/>
        </w:numPr>
      </w:pPr>
      <w:r>
        <w:t xml:space="preserve">Resource utilization.</w:t>
      </w:r>
    </w:p>
    <w:p>
      <w:pPr>
        <w:pStyle w:val="Compact"/>
        <w:numPr>
          <w:ilvl w:val="0"/>
          <w:numId w:val="1013"/>
        </w:numPr>
      </w:pPr>
      <w:r>
        <w:t xml:space="preserve">Operational trends.</w:t>
      </w:r>
    </w:p>
    <w:p>
      <w:r>
        <w:pict>
          <v:rect style="width:0;height:1.5pt" o:hralign="center" o:hrstd="t" o:hr="t"/>
        </w:pict>
      </w:r>
    </w:p>
    <w:bookmarkEnd w:id="48"/>
    <w:bookmarkEnd w:id="49"/>
    <w:bookmarkStart w:id="50" w:name="national-benefits"/>
    <w:p>
      <w:pPr>
        <w:pStyle w:val="Heading1"/>
      </w:pPr>
      <w:r>
        <w:t xml:space="preserve">15.8 National Benefits</w:t>
      </w:r>
    </w:p>
    <w:p>
      <w:pPr>
        <w:pStyle w:val="FirstParagraph"/>
      </w:pPr>
      <w:r>
        <w:t xml:space="preserve">The platform will contribute to:</w:t>
      </w:r>
    </w:p>
    <w:p>
      <w:pPr>
        <w:pStyle w:val="Compact"/>
        <w:numPr>
          <w:ilvl w:val="0"/>
          <w:numId w:val="1014"/>
        </w:numPr>
      </w:pPr>
      <w:r>
        <w:t xml:space="preserve">Better stewardship of public resources.</w:t>
      </w:r>
    </w:p>
    <w:p>
      <w:pPr>
        <w:pStyle w:val="Compact"/>
        <w:numPr>
          <w:ilvl w:val="0"/>
          <w:numId w:val="1014"/>
        </w:numPr>
      </w:pPr>
      <w:r>
        <w:t xml:space="preserve">Improved transparency.</w:t>
      </w:r>
    </w:p>
    <w:p>
      <w:pPr>
        <w:pStyle w:val="Compact"/>
        <w:numPr>
          <w:ilvl w:val="0"/>
          <w:numId w:val="1014"/>
        </w:numPr>
      </w:pPr>
      <w:r>
        <w:t xml:space="preserve">Faster operational decision-making.</w:t>
      </w:r>
    </w:p>
    <w:p>
      <w:pPr>
        <w:pStyle w:val="Compact"/>
        <w:numPr>
          <w:ilvl w:val="0"/>
          <w:numId w:val="1014"/>
        </w:numPr>
      </w:pPr>
      <w:r>
        <w:t xml:space="preserve">Improved coordination.</w:t>
      </w:r>
    </w:p>
    <w:p>
      <w:pPr>
        <w:pStyle w:val="Compact"/>
        <w:numPr>
          <w:ilvl w:val="0"/>
          <w:numId w:val="1014"/>
        </w:numPr>
      </w:pPr>
      <w:r>
        <w:t xml:space="preserve">Reduced duplication.</w:t>
      </w:r>
    </w:p>
    <w:p>
      <w:pPr>
        <w:pStyle w:val="Compact"/>
        <w:numPr>
          <w:ilvl w:val="0"/>
          <w:numId w:val="1014"/>
        </w:numPr>
      </w:pPr>
      <w:r>
        <w:t xml:space="preserve">Better planning.</w:t>
      </w:r>
    </w:p>
    <w:p>
      <w:pPr>
        <w:pStyle w:val="Compact"/>
        <w:numPr>
          <w:ilvl w:val="0"/>
          <w:numId w:val="1014"/>
        </w:numPr>
      </w:pPr>
      <w:r>
        <w:t xml:space="preserve">Stronger accountability.</w:t>
      </w:r>
    </w:p>
    <w:p>
      <w:pPr>
        <w:pStyle w:val="Compact"/>
        <w:numPr>
          <w:ilvl w:val="0"/>
          <w:numId w:val="1014"/>
        </w:numPr>
      </w:pPr>
      <w:r>
        <w:t xml:space="preserve">Improved educational service delivery.</w:t>
      </w:r>
    </w:p>
    <w:p>
      <w:r>
        <w:pict>
          <v:rect style="width:0;height:1.5pt" o:hralign="center" o:hrstd="t" o:hr="t"/>
        </w:pict>
      </w:r>
    </w:p>
    <w:bookmarkEnd w:id="50"/>
    <w:bookmarkStart w:id="51" w:name="long-term-national-impact"/>
    <w:p>
      <w:pPr>
        <w:pStyle w:val="Heading1"/>
      </w:pPr>
      <w:r>
        <w:t xml:space="preserve">15.9 Long-Term National Impact</w:t>
      </w:r>
    </w:p>
    <w:p>
      <w:pPr>
        <w:pStyle w:val="FirstParagraph"/>
      </w:pPr>
      <w:r>
        <w:t xml:space="preserve">The proposed platform establishes the digital foundation for modern education resource governance.</w:t>
      </w:r>
    </w:p>
    <w:p>
      <w:pPr>
        <w:pStyle w:val="BodyText"/>
      </w:pPr>
      <w:r>
        <w:t xml:space="preserve">Instead of operating multiple disconnected information systems, the Ministry will progressively build an integrated ecosystem where information flows securely across administrative levels and supports planning, implementation, monitoring, and continuous improvement.</w:t>
      </w:r>
    </w:p>
    <w:p>
      <w:pPr>
        <w:pStyle w:val="BodyText"/>
      </w:pPr>
      <w:r>
        <w:t xml:space="preserve">By beginning with textbooks—the most widely distributed educational resource—the Ministry creates a practical entry point for broader digital transformation while delivering immediate operational value.</w:t>
      </w:r>
    </w:p>
    <w:p>
      <w:r>
        <w:pict>
          <v:rect style="width:0;height:1.5pt" o:hralign="center" o:hrstd="t" o:hr="t"/>
        </w:pict>
      </w:r>
    </w:p>
    <w:bookmarkEnd w:id="51"/>
    <w:bookmarkStart w:id="52" w:name="conclusion"/>
    <w:p>
      <w:pPr>
        <w:pStyle w:val="Heading1"/>
      </w:pPr>
      <w:r>
        <w:t xml:space="preserve">15.10 Conclusion</w:t>
      </w:r>
    </w:p>
    <w:p>
      <w:pPr>
        <w:pStyle w:val="FirstParagraph"/>
      </w:pPr>
      <w:r>
        <w:t xml:space="preserve">The National Education Resource Intelligence Platform is more than an information system. It is a strategic framework for managing public educational resources throughout their lifecycle.</w:t>
      </w:r>
    </w:p>
    <w:p>
      <w:pPr>
        <w:pStyle w:val="BodyText"/>
      </w:pPr>
      <w:r>
        <w:t xml:space="preserve">Beginning with textbook management and expanding through carefully planned implementation phases, the platform provides Cameroon with an opportunity to strengthen transparency, improve operational efficiency, enhance accountability, and support evidence-based education governance.</w:t>
      </w:r>
    </w:p>
    <w:p>
      <w:pPr>
        <w:pStyle w:val="BodyText"/>
      </w:pPr>
      <w:r>
        <w:t xml:space="preserve">The proposed approach enables the Ministry to protect public investment, improve resource allocation, and create a sustainable digital infrastructure capable of supporting future reforms and the evolving needs of the education sector.</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2026-07-10T12:57:31Z</dcterms:created>
  <dcterms:modified xsi:type="dcterms:W3CDTF">2026-07-10T12:57:31Z</dcterms:modified>
</cp:coreProperties>
</file>

<file path=docProps/custom.xml><?xml version="1.0" encoding="utf-8"?>
<Properties xmlns="http://schemas.openxmlformats.org/officeDocument/2006/custom-properties" xmlns:vt="http://schemas.openxmlformats.org/officeDocument/2006/docPropsVTypes"/>
</file>