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2"/>
    <w:p>
      <w:pPr>
        <w:pStyle w:val="Heading1"/>
      </w:pPr>
      <w:r>
        <w:t xml:space="preserve">CHAPTER 12</w:t>
      </w:r>
    </w:p>
    <w:bookmarkEnd w:id="20"/>
    <w:bookmarkStart w:id="22" w:name="X4294d09c05447c96185073d99bfda9e8e05b762"/>
    <w:p>
      <w:pPr>
        <w:pStyle w:val="Heading1"/>
      </w:pPr>
      <w:r>
        <w:t xml:space="preserve">NATIONAL IMPLEMENTATION STRATEGY AND ROLLOUT FRAMEWORK</w:t>
      </w:r>
    </w:p>
    <w:bookmarkStart w:id="21" w:name="introduction"/>
    <w:p>
      <w:pPr>
        <w:pStyle w:val="Heading2"/>
      </w:pPr>
      <w:r>
        <w:t xml:space="preserve">12.1 Introduction</w:t>
      </w:r>
    </w:p>
    <w:p>
      <w:pPr>
        <w:pStyle w:val="FirstParagraph"/>
      </w:pPr>
      <w:r>
        <w:t xml:space="preserve">The implementation of the National Digital Textbook Lifecycle &amp; Learning Resource Management System is envisioned as a phased national transformation programme designed to strengthen textbook accountability, improve operational efficiency, and support evidence-based management across Cameroon’s secondary education system.</w:t>
      </w:r>
    </w:p>
    <w:p>
      <w:pPr>
        <w:pStyle w:val="BodyText"/>
      </w:pPr>
      <w:r>
        <w:t xml:space="preserve">A phased approach minimizes implementation risk, allows continuous learning, strengthens institutional ownership, and provides opportunities to refine processes before national expansion.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mplementation-principles"/>
    <w:p>
      <w:pPr>
        <w:pStyle w:val="Heading1"/>
      </w:pPr>
      <w:r>
        <w:t xml:space="preserve">12.2 Implementation Principles</w:t>
      </w:r>
    </w:p>
    <w:p>
      <w:pPr>
        <w:pStyle w:val="FirstParagraph"/>
      </w:pPr>
      <w:r>
        <w:t xml:space="preserve">The programme will be guided by the following principles:</w:t>
      </w:r>
    </w:p>
    <w:p>
      <w:pPr>
        <w:pStyle w:val="Compact"/>
        <w:numPr>
          <w:ilvl w:val="0"/>
          <w:numId w:val="1001"/>
        </w:numPr>
      </w:pPr>
      <w:r>
        <w:t xml:space="preserve">Ministry ownership</w:t>
      </w:r>
    </w:p>
    <w:p>
      <w:pPr>
        <w:pStyle w:val="Compact"/>
        <w:numPr>
          <w:ilvl w:val="0"/>
          <w:numId w:val="1001"/>
        </w:numPr>
      </w:pPr>
      <w:r>
        <w:t xml:space="preserve">Phased implementation</w:t>
      </w:r>
    </w:p>
    <w:p>
      <w:pPr>
        <w:pStyle w:val="Compact"/>
        <w:numPr>
          <w:ilvl w:val="0"/>
          <w:numId w:val="1001"/>
        </w:numPr>
      </w:pPr>
      <w:r>
        <w:t xml:space="preserve">Evidence-based decision-making</w:t>
      </w:r>
    </w:p>
    <w:p>
      <w:pPr>
        <w:pStyle w:val="Compact"/>
        <w:numPr>
          <w:ilvl w:val="0"/>
          <w:numId w:val="1001"/>
        </w:numPr>
      </w:pPr>
      <w:r>
        <w:t xml:space="preserve">Offline-first deployment</w:t>
      </w:r>
    </w:p>
    <w:p>
      <w:pPr>
        <w:pStyle w:val="Compact"/>
        <w:numPr>
          <w:ilvl w:val="0"/>
          <w:numId w:val="1001"/>
        </w:numPr>
      </w:pPr>
      <w:r>
        <w:t xml:space="preserve">Capacity building</w:t>
      </w:r>
    </w:p>
    <w:p>
      <w:pPr>
        <w:pStyle w:val="Compact"/>
        <w:numPr>
          <w:ilvl w:val="0"/>
          <w:numId w:val="1001"/>
        </w:numPr>
      </w:pPr>
      <w:r>
        <w:t xml:space="preserve">Continuous improvement</w:t>
      </w:r>
    </w:p>
    <w:p>
      <w:pPr>
        <w:pStyle w:val="Compact"/>
        <w:numPr>
          <w:ilvl w:val="0"/>
          <w:numId w:val="1001"/>
        </w:numPr>
      </w:pPr>
      <w:r>
        <w:t xml:space="preserve">Sustainability</w:t>
      </w:r>
    </w:p>
    <w:p>
      <w:pPr>
        <w:pStyle w:val="Compact"/>
        <w:numPr>
          <w:ilvl w:val="0"/>
          <w:numId w:val="1001"/>
        </w:numPr>
      </w:pPr>
      <w:r>
        <w:t xml:space="preserve">Interoperability</w:t>
      </w:r>
    </w:p>
    <w:p>
      <w:pPr>
        <w:pStyle w:val="Compact"/>
        <w:numPr>
          <w:ilvl w:val="0"/>
          <w:numId w:val="1001"/>
        </w:numPr>
      </w:pPr>
      <w:r>
        <w:t xml:space="preserve">Transparency</w:t>
      </w:r>
    </w:p>
    <w:p>
      <w:pPr>
        <w:pStyle w:val="Compact"/>
        <w:numPr>
          <w:ilvl w:val="0"/>
          <w:numId w:val="1001"/>
        </w:numPr>
      </w:pPr>
      <w:r>
        <w:t xml:space="preserve">Accountability</w:t>
      </w:r>
    </w:p>
    <w:p>
      <w:r>
        <w:pict>
          <v:rect style="width:0;height:1.5pt" o:hralign="center" o:hrstd="t" o:hr="t"/>
        </w:pict>
      </w:r>
    </w:p>
    <w:bookmarkEnd w:id="23"/>
    <w:bookmarkStart w:id="24" w:name="programme-governance"/>
    <w:p>
      <w:pPr>
        <w:pStyle w:val="Heading1"/>
      </w:pPr>
      <w:r>
        <w:t xml:space="preserve">12.3 Programme Governance</w:t>
      </w:r>
    </w:p>
    <w:p>
      <w:pPr>
        <w:pStyle w:val="FirstParagraph"/>
      </w:pPr>
      <w:r>
        <w:t xml:space="preserve">A clear governance structure will support coordination and oversight.</w:t>
      </w:r>
    </w:p>
    <w:p>
      <w:pPr>
        <w:pStyle w:val="SourceCode"/>
      </w:pPr>
      <w:r>
        <w:rPr>
          <w:rStyle w:val="VerbatimChar"/>
        </w:rPr>
        <w:t xml:space="preserve">Minister of Secondary Education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National Steering Committee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National Programme Management Office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            │              │</w:t>
      </w:r>
      <w:r>
        <w:br/>
      </w:r>
      <w:r>
        <w:rPr>
          <w:rStyle w:val="VerbatimChar"/>
        </w:rPr>
        <w:t xml:space="preserve">Technical   Operations   Monitoring &amp;</w:t>
      </w:r>
      <w:r>
        <w:br/>
      </w:r>
      <w:r>
        <w:rPr>
          <w:rStyle w:val="VerbatimChar"/>
        </w:rPr>
        <w:t xml:space="preserve">Committee    Committee    Evaluation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Regional Implementation Teams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Divisional Support Teams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Schools</w:t>
      </w:r>
    </w:p>
    <w:p>
      <w:r>
        <w:pict>
          <v:rect style="width:0;height:1.5pt" o:hralign="center" o:hrstd="t" o:hr="t"/>
        </w:pict>
      </w:r>
    </w:p>
    <w:bookmarkEnd w:id="24"/>
    <w:bookmarkStart w:id="30" w:name="roles-and-responsibilities"/>
    <w:p>
      <w:pPr>
        <w:pStyle w:val="Heading1"/>
      </w:pPr>
      <w:r>
        <w:t xml:space="preserve">12.4 Roles and Responsibilities</w:t>
      </w:r>
    </w:p>
    <w:bookmarkStart w:id="25" w:name="national-steering-committee"/>
    <w:p>
      <w:pPr>
        <w:pStyle w:val="Heading2"/>
      </w:pPr>
      <w:r>
        <w:t xml:space="preserve">National Steering Committee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2"/>
        </w:numPr>
      </w:pPr>
      <w:r>
        <w:t xml:space="preserve">Strategic direction</w:t>
      </w:r>
    </w:p>
    <w:p>
      <w:pPr>
        <w:pStyle w:val="Compact"/>
        <w:numPr>
          <w:ilvl w:val="0"/>
          <w:numId w:val="1002"/>
        </w:numPr>
      </w:pPr>
      <w:r>
        <w:t xml:space="preserve">Policy oversight</w:t>
      </w:r>
    </w:p>
    <w:p>
      <w:pPr>
        <w:pStyle w:val="Compact"/>
        <w:numPr>
          <w:ilvl w:val="0"/>
          <w:numId w:val="1002"/>
        </w:numPr>
      </w:pPr>
      <w:r>
        <w:t xml:space="preserve">Programme approval</w:t>
      </w:r>
    </w:p>
    <w:p>
      <w:pPr>
        <w:pStyle w:val="Compact"/>
        <w:numPr>
          <w:ilvl w:val="0"/>
          <w:numId w:val="1002"/>
        </w:numPr>
      </w:pPr>
      <w:r>
        <w:t xml:space="preserve">Resource mobilization</w:t>
      </w:r>
    </w:p>
    <w:p>
      <w:pPr>
        <w:pStyle w:val="Compact"/>
        <w:numPr>
          <w:ilvl w:val="0"/>
          <w:numId w:val="1002"/>
        </w:numPr>
      </w:pPr>
      <w:r>
        <w:t xml:space="preserve">National monitoring</w:t>
      </w:r>
    </w:p>
    <w:p>
      <w:r>
        <w:pict>
          <v:rect style="width:0;height:1.5pt" o:hralign="center" o:hrstd="t" o:hr="t"/>
        </w:pict>
      </w:r>
    </w:p>
    <w:bookmarkEnd w:id="25"/>
    <w:bookmarkStart w:id="26" w:name="programme-management-office"/>
    <w:p>
      <w:pPr>
        <w:pStyle w:val="Heading2"/>
      </w:pPr>
      <w:r>
        <w:t xml:space="preserve">Programme Management Office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Daily programme coordination</w:t>
      </w:r>
    </w:p>
    <w:p>
      <w:pPr>
        <w:pStyle w:val="Compact"/>
        <w:numPr>
          <w:ilvl w:val="0"/>
          <w:numId w:val="1003"/>
        </w:numPr>
      </w:pPr>
      <w:r>
        <w:t xml:space="preserve">Work planning</w:t>
      </w:r>
    </w:p>
    <w:p>
      <w:pPr>
        <w:pStyle w:val="Compact"/>
        <w:numPr>
          <w:ilvl w:val="0"/>
          <w:numId w:val="1003"/>
        </w:numPr>
      </w:pPr>
      <w:r>
        <w:t xml:space="preserve">Stakeholder coordination</w:t>
      </w:r>
    </w:p>
    <w:p>
      <w:pPr>
        <w:pStyle w:val="Compact"/>
        <w:numPr>
          <w:ilvl w:val="0"/>
          <w:numId w:val="1003"/>
        </w:numPr>
      </w:pPr>
      <w:r>
        <w:t xml:space="preserve">Risk management</w:t>
      </w:r>
    </w:p>
    <w:p>
      <w:pPr>
        <w:pStyle w:val="Compact"/>
        <w:numPr>
          <w:ilvl w:val="0"/>
          <w:numId w:val="1003"/>
        </w:numPr>
      </w:pPr>
      <w:r>
        <w:t xml:space="preserve">Reporting</w:t>
      </w:r>
    </w:p>
    <w:p>
      <w:pPr>
        <w:pStyle w:val="Compact"/>
        <w:numPr>
          <w:ilvl w:val="0"/>
          <w:numId w:val="1003"/>
        </w:numPr>
      </w:pPr>
      <w:r>
        <w:t xml:space="preserve">Quality assurance</w:t>
      </w:r>
    </w:p>
    <w:p>
      <w:r>
        <w:pict>
          <v:rect style="width:0;height:1.5pt" o:hralign="center" o:hrstd="t" o:hr="t"/>
        </w:pict>
      </w:r>
    </w:p>
    <w:bookmarkEnd w:id="26"/>
    <w:bookmarkStart w:id="27" w:name="technical-committee"/>
    <w:p>
      <w:pPr>
        <w:pStyle w:val="Heading2"/>
      </w:pPr>
      <w:r>
        <w:t xml:space="preserve">Technical Committee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System configuration</w:t>
      </w:r>
    </w:p>
    <w:p>
      <w:pPr>
        <w:pStyle w:val="Compact"/>
        <w:numPr>
          <w:ilvl w:val="0"/>
          <w:numId w:val="1004"/>
        </w:numPr>
      </w:pPr>
      <w:r>
        <w:t xml:space="preserve">Technical standards</w:t>
      </w:r>
    </w:p>
    <w:p>
      <w:pPr>
        <w:pStyle w:val="Compact"/>
        <w:numPr>
          <w:ilvl w:val="0"/>
          <w:numId w:val="1004"/>
        </w:numPr>
      </w:pPr>
      <w:r>
        <w:t xml:space="preserve">Integration</w:t>
      </w:r>
    </w:p>
    <w:p>
      <w:pPr>
        <w:pStyle w:val="Compact"/>
        <w:numPr>
          <w:ilvl w:val="0"/>
          <w:numId w:val="1004"/>
        </w:numPr>
      </w:pPr>
      <w:r>
        <w:t xml:space="preserve">Infrastructure</w:t>
      </w:r>
    </w:p>
    <w:p>
      <w:pPr>
        <w:pStyle w:val="Compact"/>
        <w:numPr>
          <w:ilvl w:val="0"/>
          <w:numId w:val="1004"/>
        </w:numPr>
      </w:pPr>
      <w:r>
        <w:t xml:space="preserve">Security</w:t>
      </w:r>
    </w:p>
    <w:p>
      <w:pPr>
        <w:pStyle w:val="Compact"/>
        <w:numPr>
          <w:ilvl w:val="0"/>
          <w:numId w:val="1004"/>
        </w:numPr>
      </w:pPr>
      <w:r>
        <w:t xml:space="preserve">System testing</w:t>
      </w:r>
    </w:p>
    <w:p>
      <w:r>
        <w:pict>
          <v:rect style="width:0;height:1.5pt" o:hralign="center" o:hrstd="t" o:hr="t"/>
        </w:pict>
      </w:r>
    </w:p>
    <w:bookmarkEnd w:id="27"/>
    <w:bookmarkStart w:id="28" w:name="regional-implementation-teams"/>
    <w:p>
      <w:pPr>
        <w:pStyle w:val="Heading2"/>
      </w:pPr>
      <w:r>
        <w:t xml:space="preserve">Regional Implementation Teams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5"/>
        </w:numPr>
      </w:pPr>
      <w:r>
        <w:t xml:space="preserve">Regional coordination</w:t>
      </w:r>
    </w:p>
    <w:p>
      <w:pPr>
        <w:pStyle w:val="Compact"/>
        <w:numPr>
          <w:ilvl w:val="0"/>
          <w:numId w:val="1005"/>
        </w:numPr>
      </w:pPr>
      <w:r>
        <w:t xml:space="preserve">Training</w:t>
      </w:r>
    </w:p>
    <w:p>
      <w:pPr>
        <w:pStyle w:val="Compact"/>
        <w:numPr>
          <w:ilvl w:val="0"/>
          <w:numId w:val="1005"/>
        </w:numPr>
      </w:pPr>
      <w:r>
        <w:t xml:space="preserve">Deployment support</w:t>
      </w:r>
    </w:p>
    <w:p>
      <w:pPr>
        <w:pStyle w:val="Compact"/>
        <w:numPr>
          <w:ilvl w:val="0"/>
          <w:numId w:val="1005"/>
        </w:numPr>
      </w:pPr>
      <w:r>
        <w:t xml:space="preserve">Monitoring</w:t>
      </w:r>
    </w:p>
    <w:p>
      <w:pPr>
        <w:pStyle w:val="Compact"/>
        <w:numPr>
          <w:ilvl w:val="0"/>
          <w:numId w:val="1005"/>
        </w:numPr>
      </w:pPr>
      <w:r>
        <w:t xml:space="preserve">User assistance</w:t>
      </w:r>
    </w:p>
    <w:p>
      <w:r>
        <w:pict>
          <v:rect style="width:0;height:1.5pt" o:hralign="center" o:hrstd="t" o:hr="t"/>
        </w:pict>
      </w:r>
    </w:p>
    <w:bookmarkEnd w:id="28"/>
    <w:bookmarkStart w:id="29" w:name="school-implementation-teams"/>
    <w:p>
      <w:pPr>
        <w:pStyle w:val="Heading2"/>
      </w:pPr>
      <w:r>
        <w:t xml:space="preserve">School Implementation Teams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6"/>
        </w:numPr>
      </w:pPr>
      <w:r>
        <w:t xml:space="preserve">Local deployment</w:t>
      </w:r>
    </w:p>
    <w:p>
      <w:pPr>
        <w:pStyle w:val="Compact"/>
        <w:numPr>
          <w:ilvl w:val="0"/>
          <w:numId w:val="1006"/>
        </w:numPr>
      </w:pPr>
      <w:r>
        <w:t xml:space="preserve">User adoption</w:t>
      </w:r>
    </w:p>
    <w:p>
      <w:pPr>
        <w:pStyle w:val="Compact"/>
        <w:numPr>
          <w:ilvl w:val="0"/>
          <w:numId w:val="1006"/>
        </w:numPr>
      </w:pPr>
      <w:r>
        <w:t xml:space="preserve">Data validation</w:t>
      </w:r>
    </w:p>
    <w:p>
      <w:pPr>
        <w:pStyle w:val="Compact"/>
        <w:numPr>
          <w:ilvl w:val="0"/>
          <w:numId w:val="1006"/>
        </w:numPr>
      </w:pPr>
      <w:r>
        <w:t xml:space="preserve">Inventory verification</w:t>
      </w:r>
    </w:p>
    <w:p>
      <w:pPr>
        <w:pStyle w:val="Compact"/>
        <w:numPr>
          <w:ilvl w:val="0"/>
          <w:numId w:val="1006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national-rollout-strategy"/>
    <w:p>
      <w:pPr>
        <w:pStyle w:val="Heading1"/>
      </w:pPr>
      <w:r>
        <w:t xml:space="preserve">12.5 National Rollout Strategy</w:t>
      </w:r>
    </w:p>
    <w:p>
      <w:pPr>
        <w:pStyle w:val="FirstParagraph"/>
      </w:pPr>
      <w:r>
        <w:t xml:space="preserve">The implementation will follow five progressive phases.</w:t>
      </w:r>
    </w:p>
    <w:bookmarkStart w:id="31" w:name="phase-1-programme-preparation"/>
    <w:p>
      <w:pPr>
        <w:pStyle w:val="Heading2"/>
      </w:pPr>
      <w:r>
        <w:t xml:space="preserve">Phase 1 — Programme Preparation</w:t>
      </w:r>
    </w:p>
    <w:p>
      <w:pPr>
        <w:pStyle w:val="FirstParagraph"/>
      </w:pPr>
      <w:r>
        <w:t xml:space="preserve">Activities:</w:t>
      </w:r>
    </w:p>
    <w:p>
      <w:pPr>
        <w:pStyle w:val="Compact"/>
        <w:numPr>
          <w:ilvl w:val="0"/>
          <w:numId w:val="1007"/>
        </w:numPr>
      </w:pPr>
      <w:r>
        <w:t xml:space="preserve">Governance establishment</w:t>
      </w:r>
    </w:p>
    <w:p>
      <w:pPr>
        <w:pStyle w:val="Compact"/>
        <w:numPr>
          <w:ilvl w:val="0"/>
          <w:numId w:val="1007"/>
        </w:numPr>
      </w:pPr>
      <w:r>
        <w:t xml:space="preserve">Requirements validation</w:t>
      </w:r>
    </w:p>
    <w:p>
      <w:pPr>
        <w:pStyle w:val="Compact"/>
        <w:numPr>
          <w:ilvl w:val="0"/>
          <w:numId w:val="1007"/>
        </w:numPr>
      </w:pPr>
      <w:r>
        <w:t xml:space="preserve">Business process review</w:t>
      </w:r>
    </w:p>
    <w:p>
      <w:pPr>
        <w:pStyle w:val="Compact"/>
        <w:numPr>
          <w:ilvl w:val="0"/>
          <w:numId w:val="1007"/>
        </w:numPr>
      </w:pPr>
      <w:r>
        <w:t xml:space="preserve">Technical planning</w:t>
      </w:r>
    </w:p>
    <w:p>
      <w:pPr>
        <w:pStyle w:val="Compact"/>
        <w:numPr>
          <w:ilvl w:val="0"/>
          <w:numId w:val="1007"/>
        </w:numPr>
      </w:pPr>
      <w:r>
        <w:t xml:space="preserve">Stakeholder consultations</w:t>
      </w:r>
    </w:p>
    <w:p>
      <w:pPr>
        <w:pStyle w:val="Compact"/>
        <w:numPr>
          <w:ilvl w:val="0"/>
          <w:numId w:val="1007"/>
        </w:numPr>
      </w:pPr>
      <w:r>
        <w:t xml:space="preserve">Pilot school selection</w:t>
      </w:r>
    </w:p>
    <w:p>
      <w:pPr>
        <w:pStyle w:val="Compact"/>
        <w:numPr>
          <w:ilvl w:val="0"/>
          <w:numId w:val="1007"/>
        </w:numPr>
      </w:pPr>
      <w:r>
        <w:t xml:space="preserve">Communication planning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8"/>
        </w:numPr>
      </w:pPr>
      <w:r>
        <w:t xml:space="preserve">Approved implementation plan</w:t>
      </w:r>
    </w:p>
    <w:p>
      <w:pPr>
        <w:pStyle w:val="Compact"/>
        <w:numPr>
          <w:ilvl w:val="0"/>
          <w:numId w:val="1008"/>
        </w:numPr>
      </w:pPr>
      <w:r>
        <w:t xml:space="preserve">Governance framework</w:t>
      </w:r>
    </w:p>
    <w:p>
      <w:pPr>
        <w:pStyle w:val="Compact"/>
        <w:numPr>
          <w:ilvl w:val="0"/>
          <w:numId w:val="1008"/>
        </w:numPr>
      </w:pPr>
      <w:r>
        <w:t xml:space="preserve">Risk register</w:t>
      </w:r>
    </w:p>
    <w:p>
      <w:pPr>
        <w:pStyle w:val="Compact"/>
        <w:numPr>
          <w:ilvl w:val="0"/>
          <w:numId w:val="1008"/>
        </w:numPr>
      </w:pPr>
      <w:r>
        <w:t xml:space="preserve">Training strategy</w:t>
      </w:r>
    </w:p>
    <w:p>
      <w:r>
        <w:pict>
          <v:rect style="width:0;height:1.5pt" o:hralign="center" o:hrstd="t" o:hr="t"/>
        </w:pict>
      </w:r>
    </w:p>
    <w:bookmarkEnd w:id="31"/>
    <w:bookmarkStart w:id="32" w:name="phase-2-pilot-deployment"/>
    <w:p>
      <w:pPr>
        <w:pStyle w:val="Heading2"/>
      </w:pPr>
      <w:r>
        <w:t xml:space="preserve">Phase 2 — Pilot Deployment</w:t>
      </w:r>
    </w:p>
    <w:p>
      <w:pPr>
        <w:pStyle w:val="FirstParagraph"/>
      </w:pPr>
      <w:r>
        <w:t xml:space="preserve">Illustrative scope:</w:t>
      </w:r>
    </w:p>
    <w:p>
      <w:pPr>
        <w:pStyle w:val="Compact"/>
        <w:numPr>
          <w:ilvl w:val="0"/>
          <w:numId w:val="1009"/>
        </w:numPr>
      </w:pPr>
      <w:r>
        <w:t xml:space="preserve">Selected schools</w:t>
      </w:r>
    </w:p>
    <w:p>
      <w:pPr>
        <w:pStyle w:val="Compact"/>
        <w:numPr>
          <w:ilvl w:val="0"/>
          <w:numId w:val="1009"/>
        </w:numPr>
      </w:pPr>
      <w:r>
        <w:t xml:space="preserve">Regional coordination offices</w:t>
      </w:r>
    </w:p>
    <w:p>
      <w:pPr>
        <w:pStyle w:val="Compact"/>
        <w:numPr>
          <w:ilvl w:val="0"/>
          <w:numId w:val="1009"/>
        </w:numPr>
      </w:pPr>
      <w:r>
        <w:t xml:space="preserve">Ministry monitoring team</w:t>
      </w:r>
    </w:p>
    <w:p>
      <w:pPr>
        <w:pStyle w:val="FirstParagraph"/>
      </w:pPr>
      <w:r>
        <w:t xml:space="preserve">Activities:</w:t>
      </w:r>
    </w:p>
    <w:p>
      <w:pPr>
        <w:pStyle w:val="Compact"/>
        <w:numPr>
          <w:ilvl w:val="0"/>
          <w:numId w:val="1010"/>
        </w:numPr>
      </w:pPr>
      <w:r>
        <w:t xml:space="preserve">Installation</w:t>
      </w:r>
    </w:p>
    <w:p>
      <w:pPr>
        <w:pStyle w:val="Compact"/>
        <w:numPr>
          <w:ilvl w:val="0"/>
          <w:numId w:val="1010"/>
        </w:numPr>
      </w:pPr>
      <w:r>
        <w:t xml:space="preserve">Configuration</w:t>
      </w:r>
    </w:p>
    <w:p>
      <w:pPr>
        <w:pStyle w:val="Compact"/>
        <w:numPr>
          <w:ilvl w:val="0"/>
          <w:numId w:val="1010"/>
        </w:numPr>
      </w:pPr>
      <w:r>
        <w:t xml:space="preserve">User training</w:t>
      </w:r>
    </w:p>
    <w:p>
      <w:pPr>
        <w:pStyle w:val="Compact"/>
        <w:numPr>
          <w:ilvl w:val="0"/>
          <w:numId w:val="1010"/>
        </w:numPr>
      </w:pPr>
      <w:r>
        <w:t xml:space="preserve">Data migration (where applicable)</w:t>
      </w:r>
    </w:p>
    <w:p>
      <w:pPr>
        <w:pStyle w:val="Compact"/>
        <w:numPr>
          <w:ilvl w:val="0"/>
          <w:numId w:val="1010"/>
        </w:numPr>
      </w:pPr>
      <w:r>
        <w:t xml:space="preserve">Operational support</w:t>
      </w:r>
    </w:p>
    <w:p>
      <w:pPr>
        <w:pStyle w:val="Compact"/>
        <w:numPr>
          <w:ilvl w:val="0"/>
          <w:numId w:val="1010"/>
        </w:numPr>
      </w:pPr>
      <w:r>
        <w:t xml:space="preserve">Pilot monitoring</w:t>
      </w:r>
    </w:p>
    <w:p>
      <w:pPr>
        <w:pStyle w:val="FirstParagraph"/>
      </w:pPr>
      <w:r>
        <w:t xml:space="preserve">Success indicators include:</w:t>
      </w:r>
    </w:p>
    <w:p>
      <w:pPr>
        <w:pStyle w:val="Compact"/>
        <w:numPr>
          <w:ilvl w:val="0"/>
          <w:numId w:val="1011"/>
        </w:numPr>
      </w:pPr>
      <w:r>
        <w:t xml:space="preserve">Stable system operation</w:t>
      </w:r>
    </w:p>
    <w:p>
      <w:pPr>
        <w:pStyle w:val="Compact"/>
        <w:numPr>
          <w:ilvl w:val="0"/>
          <w:numId w:val="1011"/>
        </w:numPr>
      </w:pPr>
      <w:r>
        <w:t xml:space="preserve">User adoption</w:t>
      </w:r>
    </w:p>
    <w:p>
      <w:pPr>
        <w:pStyle w:val="Compact"/>
        <w:numPr>
          <w:ilvl w:val="0"/>
          <w:numId w:val="1011"/>
        </w:numPr>
      </w:pPr>
      <w:r>
        <w:t xml:space="preserve">Inventory accuracy</w:t>
      </w:r>
    </w:p>
    <w:p>
      <w:pPr>
        <w:pStyle w:val="Compact"/>
        <w:numPr>
          <w:ilvl w:val="0"/>
          <w:numId w:val="1011"/>
        </w:numPr>
      </w:pPr>
      <w:r>
        <w:t xml:space="preserve">Reporting quality</w:t>
      </w:r>
    </w:p>
    <w:p>
      <w:pPr>
        <w:pStyle w:val="Compact"/>
        <w:numPr>
          <w:ilvl w:val="0"/>
          <w:numId w:val="1011"/>
        </w:numPr>
      </w:pPr>
      <w:r>
        <w:t xml:space="preserve">Operational feedback</w:t>
      </w:r>
    </w:p>
    <w:p>
      <w:r>
        <w:pict>
          <v:rect style="width:0;height:1.5pt" o:hralign="center" o:hrstd="t" o:hr="t"/>
        </w:pict>
      </w:r>
    </w:p>
    <w:bookmarkEnd w:id="32"/>
    <w:bookmarkStart w:id="33" w:name="phase-3-pilot-evaluation"/>
    <w:p>
      <w:pPr>
        <w:pStyle w:val="Heading2"/>
      </w:pPr>
      <w:r>
        <w:t xml:space="preserve">Phase 3 — Pilot Evaluation</w:t>
      </w:r>
    </w:p>
    <w:p>
      <w:pPr>
        <w:pStyle w:val="FirstParagraph"/>
      </w:pPr>
      <w:r>
        <w:t xml:space="preserve">Activities:</w:t>
      </w:r>
    </w:p>
    <w:p>
      <w:pPr>
        <w:pStyle w:val="Compact"/>
        <w:numPr>
          <w:ilvl w:val="0"/>
          <w:numId w:val="1012"/>
        </w:numPr>
      </w:pPr>
      <w:r>
        <w:t xml:space="preserve">Independent evaluation</w:t>
      </w:r>
    </w:p>
    <w:p>
      <w:pPr>
        <w:pStyle w:val="Compact"/>
        <w:numPr>
          <w:ilvl w:val="0"/>
          <w:numId w:val="1012"/>
        </w:numPr>
      </w:pPr>
      <w:r>
        <w:t xml:space="preserve">User feedback</w:t>
      </w:r>
    </w:p>
    <w:p>
      <w:pPr>
        <w:pStyle w:val="Compact"/>
        <w:numPr>
          <w:ilvl w:val="0"/>
          <w:numId w:val="1012"/>
        </w:numPr>
      </w:pPr>
      <w:r>
        <w:t xml:space="preserve">Performance assessment</w:t>
      </w:r>
    </w:p>
    <w:p>
      <w:pPr>
        <w:pStyle w:val="Compact"/>
        <w:numPr>
          <w:ilvl w:val="0"/>
          <w:numId w:val="1012"/>
        </w:numPr>
      </w:pPr>
      <w:r>
        <w:t xml:space="preserve">Lessons learned</w:t>
      </w:r>
    </w:p>
    <w:p>
      <w:pPr>
        <w:pStyle w:val="Compact"/>
        <w:numPr>
          <w:ilvl w:val="0"/>
          <w:numId w:val="1012"/>
        </w:numPr>
      </w:pPr>
      <w:r>
        <w:t xml:space="preserve">Functional improvements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3"/>
        </w:numPr>
      </w:pPr>
      <w:r>
        <w:t xml:space="preserve">Pilot evaluation report</w:t>
      </w:r>
    </w:p>
    <w:p>
      <w:pPr>
        <w:pStyle w:val="Compact"/>
        <w:numPr>
          <w:ilvl w:val="0"/>
          <w:numId w:val="1013"/>
        </w:numPr>
      </w:pPr>
      <w:r>
        <w:t xml:space="preserve">Updated implementation plan</w:t>
      </w:r>
    </w:p>
    <w:p>
      <w:pPr>
        <w:pStyle w:val="Compact"/>
        <w:numPr>
          <w:ilvl w:val="0"/>
          <w:numId w:val="1013"/>
        </w:numPr>
      </w:pPr>
      <w:r>
        <w:t xml:space="preserve">Recommendations for expansion</w:t>
      </w:r>
    </w:p>
    <w:p>
      <w:r>
        <w:pict>
          <v:rect style="width:0;height:1.5pt" o:hralign="center" o:hrstd="t" o:hr="t"/>
        </w:pict>
      </w:r>
    </w:p>
    <w:bookmarkEnd w:id="33"/>
    <w:bookmarkStart w:id="34" w:name="phase-4-regional-expansion"/>
    <w:p>
      <w:pPr>
        <w:pStyle w:val="Heading2"/>
      </w:pPr>
      <w:r>
        <w:t xml:space="preserve">Phase 4 — Regional Expansion</w:t>
      </w:r>
    </w:p>
    <w:p>
      <w:pPr>
        <w:pStyle w:val="FirstParagraph"/>
      </w:pPr>
      <w:r>
        <w:t xml:space="preserve">Implementation proceeds region by region based on approved rollout priorities.</w:t>
      </w:r>
    </w:p>
    <w:p>
      <w:pPr>
        <w:pStyle w:val="BodyText"/>
      </w:pPr>
      <w:r>
        <w:t xml:space="preserve">Activities include:</w:t>
      </w:r>
    </w:p>
    <w:p>
      <w:pPr>
        <w:pStyle w:val="Compact"/>
        <w:numPr>
          <w:ilvl w:val="0"/>
          <w:numId w:val="1014"/>
        </w:numPr>
      </w:pPr>
      <w:r>
        <w:t xml:space="preserve">Infrastructure readiness</w:t>
      </w:r>
    </w:p>
    <w:p>
      <w:pPr>
        <w:pStyle w:val="Compact"/>
        <w:numPr>
          <w:ilvl w:val="0"/>
          <w:numId w:val="1014"/>
        </w:numPr>
      </w:pPr>
      <w:r>
        <w:t xml:space="preserve">Regional training</w:t>
      </w:r>
    </w:p>
    <w:p>
      <w:pPr>
        <w:pStyle w:val="Compact"/>
        <w:numPr>
          <w:ilvl w:val="0"/>
          <w:numId w:val="1014"/>
        </w:numPr>
      </w:pPr>
      <w:r>
        <w:t xml:space="preserve">Deployment</w:t>
      </w:r>
    </w:p>
    <w:p>
      <w:pPr>
        <w:pStyle w:val="Compact"/>
        <w:numPr>
          <w:ilvl w:val="0"/>
          <w:numId w:val="1014"/>
        </w:numPr>
      </w:pPr>
      <w:r>
        <w:t xml:space="preserve">Quality assurance</w:t>
      </w:r>
    </w:p>
    <w:p>
      <w:pPr>
        <w:pStyle w:val="Compact"/>
        <w:numPr>
          <w:ilvl w:val="0"/>
          <w:numId w:val="1014"/>
        </w:numPr>
      </w:pPr>
      <w:r>
        <w:t xml:space="preserve">Operational monitoring</w:t>
      </w:r>
    </w:p>
    <w:p>
      <w:r>
        <w:pict>
          <v:rect style="width:0;height:1.5pt" o:hralign="center" o:hrstd="t" o:hr="t"/>
        </w:pict>
      </w:r>
    </w:p>
    <w:bookmarkEnd w:id="34"/>
    <w:bookmarkStart w:id="35" w:name="phase-5-nationwide-implementation"/>
    <w:p>
      <w:pPr>
        <w:pStyle w:val="Heading2"/>
      </w:pPr>
      <w:r>
        <w:t xml:space="preserve">Phase 5 — Nationwide Implementation</w:t>
      </w:r>
    </w:p>
    <w:p>
      <w:pPr>
        <w:pStyle w:val="FirstParagraph"/>
      </w:pPr>
      <w:r>
        <w:t xml:space="preserve">Following successful regional deployment:</w:t>
      </w:r>
    </w:p>
    <w:p>
      <w:pPr>
        <w:pStyle w:val="Compact"/>
        <w:numPr>
          <w:ilvl w:val="0"/>
          <w:numId w:val="1015"/>
        </w:numPr>
      </w:pPr>
      <w:r>
        <w:t xml:space="preserve">National operational support</w:t>
      </w:r>
    </w:p>
    <w:p>
      <w:pPr>
        <w:pStyle w:val="Compact"/>
        <w:numPr>
          <w:ilvl w:val="0"/>
          <w:numId w:val="1015"/>
        </w:numPr>
      </w:pPr>
      <w:r>
        <w:t xml:space="preserve">Continuous improvement</w:t>
      </w:r>
    </w:p>
    <w:p>
      <w:pPr>
        <w:pStyle w:val="Compact"/>
        <w:numPr>
          <w:ilvl w:val="0"/>
          <w:numId w:val="1015"/>
        </w:numPr>
      </w:pPr>
      <w:r>
        <w:t xml:space="preserve">Ongoing monitoring</w:t>
      </w:r>
    </w:p>
    <w:p>
      <w:pPr>
        <w:pStyle w:val="Compact"/>
        <w:numPr>
          <w:ilvl w:val="0"/>
          <w:numId w:val="1015"/>
        </w:numPr>
      </w:pPr>
      <w:r>
        <w:t xml:space="preserve">System optimization</w:t>
      </w:r>
    </w:p>
    <w:p>
      <w:pPr>
        <w:pStyle w:val="Compact"/>
        <w:numPr>
          <w:ilvl w:val="0"/>
          <w:numId w:val="1015"/>
        </w:numPr>
      </w:pPr>
      <w:r>
        <w:t xml:space="preserve">Long-term sustainability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isk-management"/>
    <w:p>
      <w:pPr>
        <w:pStyle w:val="Heading1"/>
      </w:pPr>
      <w:r>
        <w:t xml:space="preserve">12.6 Risk Management</w:t>
      </w:r>
    </w:p>
    <w:p>
      <w:pPr>
        <w:pStyle w:val="FirstParagraph"/>
      </w:pPr>
      <w:r>
        <w:t xml:space="preserve">Potential programme risks include:</w:t>
      </w:r>
    </w:p>
    <w:bookmarkStart w:id="37" w:name="operational-risks"/>
    <w:p>
      <w:pPr>
        <w:pStyle w:val="Heading3"/>
      </w:pPr>
      <w:r>
        <w:t xml:space="preserve">Operational Risks</w:t>
      </w:r>
    </w:p>
    <w:p>
      <w:pPr>
        <w:pStyle w:val="Compact"/>
        <w:numPr>
          <w:ilvl w:val="0"/>
          <w:numId w:val="1016"/>
        </w:numPr>
      </w:pPr>
      <w:r>
        <w:t xml:space="preserve">Delayed deployment</w:t>
      </w:r>
    </w:p>
    <w:p>
      <w:pPr>
        <w:pStyle w:val="Compact"/>
        <w:numPr>
          <w:ilvl w:val="0"/>
          <w:numId w:val="1016"/>
        </w:numPr>
      </w:pPr>
      <w:r>
        <w:t xml:space="preserve">Staff turnover</w:t>
      </w:r>
    </w:p>
    <w:p>
      <w:pPr>
        <w:pStyle w:val="Compact"/>
        <w:numPr>
          <w:ilvl w:val="0"/>
          <w:numId w:val="1016"/>
        </w:numPr>
      </w:pPr>
      <w:r>
        <w:t xml:space="preserve">Limited connectivity</w:t>
      </w:r>
    </w:p>
    <w:p>
      <w:pPr>
        <w:pStyle w:val="Compact"/>
        <w:numPr>
          <w:ilvl w:val="0"/>
          <w:numId w:val="1016"/>
        </w:numPr>
      </w:pPr>
      <w:r>
        <w:t xml:space="preserve">Power interruptions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17"/>
        </w:numPr>
      </w:pPr>
      <w:r>
        <w:t xml:space="preserve">Offline-first operation</w:t>
      </w:r>
    </w:p>
    <w:p>
      <w:pPr>
        <w:pStyle w:val="Compact"/>
        <w:numPr>
          <w:ilvl w:val="0"/>
          <w:numId w:val="1017"/>
        </w:numPr>
      </w:pPr>
      <w:r>
        <w:t xml:space="preserve">Train-the-trainer model</w:t>
      </w:r>
    </w:p>
    <w:p>
      <w:pPr>
        <w:pStyle w:val="Compact"/>
        <w:numPr>
          <w:ilvl w:val="0"/>
          <w:numId w:val="1017"/>
        </w:numPr>
      </w:pPr>
      <w:r>
        <w:t xml:space="preserve">Local support teams</w:t>
      </w:r>
    </w:p>
    <w:p>
      <w:pPr>
        <w:pStyle w:val="Compact"/>
        <w:numPr>
          <w:ilvl w:val="0"/>
          <w:numId w:val="1017"/>
        </w:numPr>
      </w:pPr>
      <w:r>
        <w:t xml:space="preserve">Backup procedures</w:t>
      </w:r>
    </w:p>
    <w:p>
      <w:r>
        <w:pict>
          <v:rect style="width:0;height:1.5pt" o:hralign="center" o:hrstd="t" o:hr="t"/>
        </w:pict>
      </w:r>
    </w:p>
    <w:bookmarkEnd w:id="37"/>
    <w:bookmarkStart w:id="38" w:name="technical-risks"/>
    <w:p>
      <w:pPr>
        <w:pStyle w:val="Heading3"/>
      </w:pPr>
      <w:r>
        <w:t xml:space="preserve">Technical Risks</w:t>
      </w:r>
    </w:p>
    <w:p>
      <w:pPr>
        <w:pStyle w:val="Compact"/>
        <w:numPr>
          <w:ilvl w:val="0"/>
          <w:numId w:val="1018"/>
        </w:numPr>
      </w:pPr>
      <w:r>
        <w:t xml:space="preserve">Hardware failures</w:t>
      </w:r>
    </w:p>
    <w:p>
      <w:pPr>
        <w:pStyle w:val="Compact"/>
        <w:numPr>
          <w:ilvl w:val="0"/>
          <w:numId w:val="1018"/>
        </w:numPr>
      </w:pPr>
      <w:r>
        <w:t xml:space="preserve">Synchronization issues</w:t>
      </w:r>
    </w:p>
    <w:p>
      <w:pPr>
        <w:pStyle w:val="Compact"/>
        <w:numPr>
          <w:ilvl w:val="0"/>
          <w:numId w:val="1018"/>
        </w:numPr>
      </w:pPr>
      <w:r>
        <w:t xml:space="preserve">Software defects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19"/>
        </w:numPr>
      </w:pPr>
      <w:r>
        <w:t xml:space="preserve">Quality assurance testing</w:t>
      </w:r>
    </w:p>
    <w:p>
      <w:pPr>
        <w:pStyle w:val="Compact"/>
        <w:numPr>
          <w:ilvl w:val="0"/>
          <w:numId w:val="1019"/>
        </w:numPr>
      </w:pPr>
      <w:r>
        <w:t xml:space="preserve">Monitoring</w:t>
      </w:r>
    </w:p>
    <w:p>
      <w:pPr>
        <w:pStyle w:val="Compact"/>
        <w:numPr>
          <w:ilvl w:val="0"/>
          <w:numId w:val="1019"/>
        </w:numPr>
      </w:pPr>
      <w:r>
        <w:t xml:space="preserve">Preventive maintenance</w:t>
      </w:r>
    </w:p>
    <w:p>
      <w:pPr>
        <w:pStyle w:val="Compact"/>
        <w:numPr>
          <w:ilvl w:val="0"/>
          <w:numId w:val="1019"/>
        </w:numPr>
      </w:pPr>
      <w:r>
        <w:t xml:space="preserve">Incident management</w:t>
      </w:r>
    </w:p>
    <w:p>
      <w:r>
        <w:pict>
          <v:rect style="width:0;height:1.5pt" o:hralign="center" o:hrstd="t" o:hr="t"/>
        </w:pict>
      </w:r>
    </w:p>
    <w:bookmarkEnd w:id="38"/>
    <w:bookmarkStart w:id="39" w:name="organizational-risks"/>
    <w:p>
      <w:pPr>
        <w:pStyle w:val="Heading3"/>
      </w:pPr>
      <w:r>
        <w:t xml:space="preserve">Organizational Risks</w:t>
      </w:r>
    </w:p>
    <w:p>
      <w:pPr>
        <w:pStyle w:val="Compact"/>
        <w:numPr>
          <w:ilvl w:val="0"/>
          <w:numId w:val="1020"/>
        </w:numPr>
      </w:pPr>
      <w:r>
        <w:t xml:space="preserve">Resistance to change</w:t>
      </w:r>
    </w:p>
    <w:p>
      <w:pPr>
        <w:pStyle w:val="Compact"/>
        <w:numPr>
          <w:ilvl w:val="0"/>
          <w:numId w:val="1020"/>
        </w:numPr>
      </w:pPr>
      <w:r>
        <w:t xml:space="preserve">Competing priorities</w:t>
      </w:r>
    </w:p>
    <w:p>
      <w:pPr>
        <w:pStyle w:val="Compact"/>
        <w:numPr>
          <w:ilvl w:val="0"/>
          <w:numId w:val="1020"/>
        </w:numPr>
      </w:pPr>
      <w:r>
        <w:t xml:space="preserve">Uneven adoption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21"/>
        </w:numPr>
      </w:pPr>
      <w:r>
        <w:t xml:space="preserve">Communication</w:t>
      </w:r>
    </w:p>
    <w:p>
      <w:pPr>
        <w:pStyle w:val="Compact"/>
        <w:numPr>
          <w:ilvl w:val="0"/>
          <w:numId w:val="1021"/>
        </w:numPr>
      </w:pPr>
      <w:r>
        <w:t xml:space="preserve">Leadership engagement</w:t>
      </w:r>
    </w:p>
    <w:p>
      <w:pPr>
        <w:pStyle w:val="Compact"/>
        <w:numPr>
          <w:ilvl w:val="0"/>
          <w:numId w:val="1021"/>
        </w:numPr>
      </w:pPr>
      <w:r>
        <w:t xml:space="preserve">Continuous training</w:t>
      </w:r>
    </w:p>
    <w:p>
      <w:pPr>
        <w:pStyle w:val="Compact"/>
        <w:numPr>
          <w:ilvl w:val="0"/>
          <w:numId w:val="1021"/>
        </w:numPr>
      </w:pPr>
      <w:r>
        <w:t xml:space="preserve">User support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onitoring-and-evaluation"/>
    <w:p>
      <w:pPr>
        <w:pStyle w:val="Heading1"/>
      </w:pPr>
      <w:r>
        <w:t xml:space="preserve">12.7 Monitoring and Evaluation</w:t>
      </w:r>
    </w:p>
    <w:p>
      <w:pPr>
        <w:pStyle w:val="FirstParagraph"/>
      </w:pPr>
      <w:r>
        <w:t xml:space="preserve">Programme performance will be monitored through:</w:t>
      </w:r>
    </w:p>
    <w:p>
      <w:pPr>
        <w:pStyle w:val="Compact"/>
        <w:numPr>
          <w:ilvl w:val="0"/>
          <w:numId w:val="1022"/>
        </w:numPr>
      </w:pPr>
      <w:r>
        <w:t xml:space="preserve">Monthly implementation reports</w:t>
      </w:r>
    </w:p>
    <w:p>
      <w:pPr>
        <w:pStyle w:val="Compact"/>
        <w:numPr>
          <w:ilvl w:val="0"/>
          <w:numId w:val="1022"/>
        </w:numPr>
      </w:pPr>
      <w:r>
        <w:t xml:space="preserve">Quarterly progress reviews</w:t>
      </w:r>
    </w:p>
    <w:p>
      <w:pPr>
        <w:pStyle w:val="Compact"/>
        <w:numPr>
          <w:ilvl w:val="0"/>
          <w:numId w:val="1022"/>
        </w:numPr>
      </w:pPr>
      <w:r>
        <w:t xml:space="preserve">Regional performance meetings</w:t>
      </w:r>
    </w:p>
    <w:p>
      <w:pPr>
        <w:pStyle w:val="Compact"/>
        <w:numPr>
          <w:ilvl w:val="0"/>
          <w:numId w:val="1022"/>
        </w:numPr>
      </w:pPr>
      <w:r>
        <w:t xml:space="preserve">System usage analytics</w:t>
      </w:r>
    </w:p>
    <w:p>
      <w:pPr>
        <w:pStyle w:val="Compact"/>
        <w:numPr>
          <w:ilvl w:val="0"/>
          <w:numId w:val="1022"/>
        </w:numPr>
      </w:pPr>
      <w:r>
        <w:t xml:space="preserve">User satisfaction surveys</w:t>
      </w:r>
    </w:p>
    <w:p>
      <w:pPr>
        <w:pStyle w:val="Compact"/>
        <w:numPr>
          <w:ilvl w:val="0"/>
          <w:numId w:val="1022"/>
        </w:numPr>
      </w:pPr>
      <w:r>
        <w:t xml:space="preserve">Operational audits</w:t>
      </w:r>
    </w:p>
    <w:p>
      <w:r>
        <w:pict>
          <v:rect style="width:0;height:1.5pt" o:hralign="center" o:hrstd="t" o:hr="t"/>
        </w:pict>
      </w:r>
    </w:p>
    <w:bookmarkEnd w:id="41"/>
    <w:bookmarkStart w:id="42" w:name="programme-success-indicators"/>
    <w:p>
      <w:pPr>
        <w:pStyle w:val="Heading1"/>
      </w:pPr>
      <w:r>
        <w:t xml:space="preserve">12.8 Programme Success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23"/>
        </w:numPr>
      </w:pPr>
      <w:r>
        <w:t xml:space="preserve">Schools successfully deployed.</w:t>
      </w:r>
    </w:p>
    <w:p>
      <w:pPr>
        <w:pStyle w:val="Compact"/>
        <w:numPr>
          <w:ilvl w:val="0"/>
          <w:numId w:val="1023"/>
        </w:numPr>
      </w:pPr>
      <w:r>
        <w:t xml:space="preserve">Active system usage.</w:t>
      </w:r>
    </w:p>
    <w:p>
      <w:pPr>
        <w:pStyle w:val="Compact"/>
        <w:numPr>
          <w:ilvl w:val="0"/>
          <w:numId w:val="1023"/>
        </w:numPr>
      </w:pPr>
      <w:r>
        <w:t xml:space="preserve">Inventory accuracy.</w:t>
      </w:r>
    </w:p>
    <w:p>
      <w:pPr>
        <w:pStyle w:val="Compact"/>
        <w:numPr>
          <w:ilvl w:val="0"/>
          <w:numId w:val="1023"/>
        </w:numPr>
      </w:pPr>
      <w:r>
        <w:t xml:space="preserve">Reporting compliance.</w:t>
      </w:r>
    </w:p>
    <w:p>
      <w:pPr>
        <w:pStyle w:val="Compact"/>
        <w:numPr>
          <w:ilvl w:val="0"/>
          <w:numId w:val="1023"/>
        </w:numPr>
      </w:pPr>
      <w:r>
        <w:t xml:space="preserve">Reduction in manual processes.</w:t>
      </w:r>
    </w:p>
    <w:p>
      <w:pPr>
        <w:pStyle w:val="Compact"/>
        <w:numPr>
          <w:ilvl w:val="0"/>
          <w:numId w:val="1023"/>
        </w:numPr>
      </w:pPr>
      <w:r>
        <w:t xml:space="preserve">User satisfaction.</w:t>
      </w:r>
    </w:p>
    <w:p>
      <w:pPr>
        <w:pStyle w:val="Compact"/>
        <w:numPr>
          <w:ilvl w:val="0"/>
          <w:numId w:val="1023"/>
        </w:numPr>
      </w:pPr>
      <w:r>
        <w:t xml:space="preserve">Inspection coverage.</w:t>
      </w:r>
    </w:p>
    <w:p>
      <w:pPr>
        <w:pStyle w:val="Compact"/>
        <w:numPr>
          <w:ilvl w:val="0"/>
          <w:numId w:val="1023"/>
        </w:numPr>
      </w:pPr>
      <w:r>
        <w:t xml:space="preserve">Training completion.</w:t>
      </w:r>
    </w:p>
    <w:p>
      <w:pPr>
        <w:pStyle w:val="Compact"/>
        <w:numPr>
          <w:ilvl w:val="0"/>
          <w:numId w:val="1023"/>
        </w:numPr>
      </w:pPr>
      <w:r>
        <w:t xml:space="preserve">Operational uptime.</w:t>
      </w:r>
    </w:p>
    <w:p>
      <w:pPr>
        <w:pStyle w:val="Compact"/>
        <w:numPr>
          <w:ilvl w:val="0"/>
          <w:numId w:val="1023"/>
        </w:numPr>
      </w:pPr>
      <w:r>
        <w:t xml:space="preserve">Data synchronization success.</w:t>
      </w:r>
    </w:p>
    <w:p>
      <w:r>
        <w:pict>
          <v:rect style="width:0;height:1.5pt" o:hralign="center" o:hrstd="t" o:hr="t"/>
        </w:pict>
      </w:r>
    </w:p>
    <w:bookmarkEnd w:id="42"/>
    <w:bookmarkStart w:id="43" w:name="sustainability-strategy"/>
    <w:p>
      <w:pPr>
        <w:pStyle w:val="Heading1"/>
      </w:pPr>
      <w:r>
        <w:t xml:space="preserve">12.9 Sustainability Strategy</w:t>
      </w:r>
    </w:p>
    <w:p>
      <w:pPr>
        <w:pStyle w:val="FirstParagraph"/>
      </w:pPr>
      <w:r>
        <w:t xml:space="preserve">Long-term sustainability will be supported through:</w:t>
      </w:r>
    </w:p>
    <w:p>
      <w:pPr>
        <w:pStyle w:val="Compact"/>
        <w:numPr>
          <w:ilvl w:val="0"/>
          <w:numId w:val="1024"/>
        </w:numPr>
      </w:pPr>
      <w:r>
        <w:t xml:space="preserve">Ministry ownership.</w:t>
      </w:r>
    </w:p>
    <w:p>
      <w:pPr>
        <w:pStyle w:val="Compact"/>
        <w:numPr>
          <w:ilvl w:val="0"/>
          <w:numId w:val="1024"/>
        </w:numPr>
      </w:pPr>
      <w:r>
        <w:t xml:space="preserve">Institutional capacity building.</w:t>
      </w:r>
    </w:p>
    <w:p>
      <w:pPr>
        <w:pStyle w:val="Compact"/>
        <w:numPr>
          <w:ilvl w:val="0"/>
          <w:numId w:val="1024"/>
        </w:numPr>
      </w:pPr>
      <w:r>
        <w:t xml:space="preserve">Knowledge transfer.</w:t>
      </w:r>
    </w:p>
    <w:p>
      <w:pPr>
        <w:pStyle w:val="Compact"/>
        <w:numPr>
          <w:ilvl w:val="0"/>
          <w:numId w:val="1024"/>
        </w:numPr>
      </w:pPr>
      <w:r>
        <w:t xml:space="preserve">Standard operating procedures.</w:t>
      </w:r>
    </w:p>
    <w:p>
      <w:pPr>
        <w:pStyle w:val="Compact"/>
        <w:numPr>
          <w:ilvl w:val="0"/>
          <w:numId w:val="1024"/>
        </w:numPr>
      </w:pPr>
      <w:r>
        <w:t xml:space="preserve">Continuous technical support.</w:t>
      </w:r>
    </w:p>
    <w:p>
      <w:pPr>
        <w:pStyle w:val="Compact"/>
        <w:numPr>
          <w:ilvl w:val="0"/>
          <w:numId w:val="1024"/>
        </w:numPr>
      </w:pPr>
      <w:r>
        <w:t xml:space="preserve">Periodic system upgrades.</w:t>
      </w:r>
    </w:p>
    <w:p>
      <w:pPr>
        <w:pStyle w:val="Compact"/>
        <w:numPr>
          <w:ilvl w:val="0"/>
          <w:numId w:val="1024"/>
        </w:numPr>
      </w:pPr>
      <w:r>
        <w:t xml:space="preserve">Budget planning for operations and maintenance.</w:t>
      </w:r>
    </w:p>
    <w:p>
      <w:r>
        <w:pict>
          <v:rect style="width:0;height:1.5pt" o:hralign="center" o:hrstd="t" o:hr="t"/>
        </w:pict>
      </w:r>
    </w:p>
    <w:bookmarkEnd w:id="43"/>
    <w:bookmarkStart w:id="44" w:name="expected-outcomes"/>
    <w:p>
      <w:pPr>
        <w:pStyle w:val="Heading1"/>
      </w:pPr>
      <w:r>
        <w:t xml:space="preserve">12.10 Expected Outcomes</w:t>
      </w:r>
    </w:p>
    <w:p>
      <w:pPr>
        <w:pStyle w:val="FirstParagraph"/>
      </w:pPr>
      <w:r>
        <w:t xml:space="preserve">The implementation strategy is expected to:</w:t>
      </w:r>
    </w:p>
    <w:p>
      <w:pPr>
        <w:pStyle w:val="Compact"/>
        <w:numPr>
          <w:ilvl w:val="0"/>
          <w:numId w:val="1025"/>
        </w:numPr>
      </w:pPr>
      <w:r>
        <w:t xml:space="preserve">Reduce implementation risks.</w:t>
      </w:r>
    </w:p>
    <w:p>
      <w:pPr>
        <w:pStyle w:val="Compact"/>
        <w:numPr>
          <w:ilvl w:val="0"/>
          <w:numId w:val="1025"/>
        </w:numPr>
      </w:pPr>
      <w:r>
        <w:t xml:space="preserve">Improve institutional ownership.</w:t>
      </w:r>
    </w:p>
    <w:p>
      <w:pPr>
        <w:pStyle w:val="Compact"/>
        <w:numPr>
          <w:ilvl w:val="0"/>
          <w:numId w:val="1025"/>
        </w:numPr>
      </w:pPr>
      <w:r>
        <w:t xml:space="preserve">Strengthen operational consistency.</w:t>
      </w:r>
    </w:p>
    <w:p>
      <w:pPr>
        <w:pStyle w:val="Compact"/>
        <w:numPr>
          <w:ilvl w:val="0"/>
          <w:numId w:val="1025"/>
        </w:numPr>
      </w:pPr>
      <w:r>
        <w:t xml:space="preserve">Support gradual national expansion.</w:t>
      </w:r>
    </w:p>
    <w:p>
      <w:pPr>
        <w:pStyle w:val="Compact"/>
        <w:numPr>
          <w:ilvl w:val="0"/>
          <w:numId w:val="1025"/>
        </w:numPr>
      </w:pPr>
      <w:r>
        <w:t xml:space="preserve">Build long-term technical capacity.</w:t>
      </w:r>
    </w:p>
    <w:p>
      <w:pPr>
        <w:pStyle w:val="Compact"/>
        <w:numPr>
          <w:ilvl w:val="0"/>
          <w:numId w:val="1025"/>
        </w:numPr>
      </w:pPr>
      <w:r>
        <w:t xml:space="preserve">Improve programme sustainability.</w:t>
      </w:r>
    </w:p>
    <w:p>
      <w:pPr>
        <w:pStyle w:val="Compact"/>
        <w:numPr>
          <w:ilvl w:val="0"/>
          <w:numId w:val="1025"/>
        </w:numPr>
      </w:pPr>
      <w:r>
        <w:t xml:space="preserve">Enhance confidence among stakeholders and development partners.</w:t>
      </w:r>
    </w:p>
    <w:p>
      <w:r>
        <w:pict>
          <v:rect style="width:0;height:1.5pt" o:hralign="center" o:hrstd="t" o:hr="t"/>
        </w:pict>
      </w:r>
    </w:p>
    <w:bookmarkEnd w:id="44"/>
    <w:bookmarkStart w:id="45" w:name="X26a7a468534b1f9d07076ef71f1c49e1f1cdf83"/>
    <w:p>
      <w:pPr>
        <w:pStyle w:val="Heading1"/>
      </w:pPr>
      <w:r>
        <w:t xml:space="preserve">12.11 Transition to Monitoring, Evaluation and National Impact</w:t>
      </w:r>
    </w:p>
    <w:p>
      <w:pPr>
        <w:pStyle w:val="FirstParagraph"/>
      </w:pPr>
      <w:r>
        <w:t xml:space="preserve">Implementation alone does not guarantee success. Measuring outcomes, evaluating performance, and demonstrating value are essential for sustaining investment and guiding future improvements.</w:t>
      </w:r>
    </w:p>
    <w:p>
      <w:pPr>
        <w:pStyle w:val="BodyText"/>
      </w:pPr>
      <w:r>
        <w:t xml:space="preserve">The next chapter presents the Monitoring, Evaluation and Results Framework, defining how programme performance, operational improvements, and national impact will be measured over time.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2026-07-10T12:56:15Z</dcterms:created>
  <dcterms:modified xsi:type="dcterms:W3CDTF">2026-07-10T12:56:15Z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