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2"/>
    <w:p>
      <w:pPr>
        <w:pStyle w:val="Heading1"/>
      </w:pPr>
      <w:r>
        <w:t xml:space="preserve">CHAPTER 2</w:t>
      </w:r>
    </w:p>
    <w:bookmarkEnd w:id="20"/>
    <w:bookmarkStart w:id="22" w:name="national-textbook-lifecycle-assessment"/>
    <w:p>
      <w:pPr>
        <w:pStyle w:val="Heading1"/>
      </w:pPr>
      <w:r>
        <w:t xml:space="preserve">NATIONAL TEXTBOOK LIFECYCLE ASSESSMENT</w:t>
      </w:r>
    </w:p>
    <w:bookmarkStart w:id="21" w:name="introduction"/>
    <w:p>
      <w:pPr>
        <w:pStyle w:val="Heading2"/>
      </w:pPr>
      <w:r>
        <w:t xml:space="preserve">2.1 Introduction</w:t>
      </w:r>
    </w:p>
    <w:p>
      <w:pPr>
        <w:pStyle w:val="FirstParagraph"/>
      </w:pPr>
      <w:r>
        <w:t xml:space="preserve">Textbooks are among the most valuable and widely distributed educational resources financed by the Government of Cameroon and its development partners. They represent a significant public investment intended to improve teaching quality, learning outcomes, and equitable access to education.</w:t>
      </w:r>
    </w:p>
    <w:p>
      <w:pPr>
        <w:pStyle w:val="BodyText"/>
      </w:pPr>
      <w:r>
        <w:t xml:space="preserve">While considerable progress has been made in textbook procurement and distribution, the operational management of these resources throughout their lifecycle remains a complex undertaking involving multiple institutions, administrative levels, and thousands of schools nationwide.</w:t>
      </w:r>
    </w:p>
    <w:p>
      <w:pPr>
        <w:pStyle w:val="BodyText"/>
      </w:pPr>
      <w:r>
        <w:t xml:space="preserve">The textbook lifecycle extends far beyond procurement. It encompasses demand forecasting, budgeting, procurement, printing, warehousing, transportation, distribution, school inventory management, classroom utilization, annual verification, redistribution, replacement, and final disposal.</w:t>
      </w:r>
    </w:p>
    <w:p>
      <w:pPr>
        <w:pStyle w:val="BodyText"/>
      </w:pPr>
      <w:r>
        <w:t xml:space="preserve">Each stage introduces operational, logistical, financial, technological, and governance risks that can reduce the efficiency and impact of public investment.</w:t>
      </w:r>
    </w:p>
    <w:p>
      <w:pPr>
        <w:pStyle w:val="BodyText"/>
      </w:pPr>
      <w:r>
        <w:t xml:space="preserve">This chapter examines the textbook lifecycle from an operational perspective, identifying the challenges faced at each stage and establishing the need for a comprehensive digital lifecycle management system.</w:t>
      </w:r>
    </w:p>
    <w:p>
      <w:r>
        <w:pict>
          <v:rect style="width:0;height:1.5pt" o:hralign="center" o:hrstd="t" o:hr="t"/>
        </w:pict>
      </w:r>
    </w:p>
    <w:bookmarkEnd w:id="21"/>
    <w:bookmarkEnd w:id="22"/>
    <w:bookmarkStart w:id="23" w:name="objectives-of-the-assessment"/>
    <w:p>
      <w:pPr>
        <w:pStyle w:val="Heading1"/>
      </w:pPr>
      <w:r>
        <w:t xml:space="preserve">2.2 Objectives of the Assessment</w:t>
      </w:r>
    </w:p>
    <w:p>
      <w:pPr>
        <w:pStyle w:val="FirstParagraph"/>
      </w:pPr>
      <w:r>
        <w:t xml:space="preserve">The assessment seeks to:</w:t>
      </w:r>
    </w:p>
    <w:p>
      <w:pPr>
        <w:pStyle w:val="Compact"/>
        <w:numPr>
          <w:ilvl w:val="0"/>
          <w:numId w:val="1001"/>
        </w:numPr>
      </w:pPr>
      <w:r>
        <w:t xml:space="preserve">Understand the complete textbook lifecycle.</w:t>
      </w:r>
    </w:p>
    <w:p>
      <w:pPr>
        <w:pStyle w:val="Compact"/>
        <w:numPr>
          <w:ilvl w:val="0"/>
          <w:numId w:val="1001"/>
        </w:numPr>
      </w:pPr>
      <w:r>
        <w:t xml:space="preserve">Identify operational bottlenecks.</w:t>
      </w:r>
    </w:p>
    <w:p>
      <w:pPr>
        <w:pStyle w:val="Compact"/>
        <w:numPr>
          <w:ilvl w:val="0"/>
          <w:numId w:val="1001"/>
        </w:numPr>
      </w:pPr>
      <w:r>
        <w:t xml:space="preserve">Identify accountability gaps.</w:t>
      </w:r>
    </w:p>
    <w:p>
      <w:pPr>
        <w:pStyle w:val="Compact"/>
        <w:numPr>
          <w:ilvl w:val="0"/>
          <w:numId w:val="1001"/>
        </w:numPr>
      </w:pPr>
      <w:r>
        <w:t xml:space="preserve">Examine information flows.</w:t>
      </w:r>
    </w:p>
    <w:p>
      <w:pPr>
        <w:pStyle w:val="Compact"/>
        <w:numPr>
          <w:ilvl w:val="0"/>
          <w:numId w:val="1001"/>
        </w:numPr>
      </w:pPr>
      <w:r>
        <w:t xml:space="preserve">Assess current reporting mechanisms.</w:t>
      </w:r>
    </w:p>
    <w:p>
      <w:pPr>
        <w:pStyle w:val="Compact"/>
        <w:numPr>
          <w:ilvl w:val="0"/>
          <w:numId w:val="1001"/>
        </w:numPr>
      </w:pPr>
      <w:r>
        <w:t xml:space="preserve">Identify opportunities for digital transformation.</w:t>
      </w:r>
    </w:p>
    <w:p>
      <w:pPr>
        <w:pStyle w:val="Compact"/>
        <w:numPr>
          <w:ilvl w:val="0"/>
          <w:numId w:val="1001"/>
        </w:numPr>
      </w:pPr>
      <w:r>
        <w:t xml:space="preserve">Establish functional requirements for the proposed National Digital Textbook Lifecycle &amp; Learning Resource Management System.</w:t>
      </w:r>
    </w:p>
    <w:p>
      <w:r>
        <w:pict>
          <v:rect style="width:0;height:1.5pt" o:hralign="center" o:hrstd="t" o:hr="t"/>
        </w:pict>
      </w:r>
    </w:p>
    <w:bookmarkEnd w:id="23"/>
    <w:bookmarkStart w:id="29" w:name="stakeholders"/>
    <w:p>
      <w:pPr>
        <w:pStyle w:val="Heading1"/>
      </w:pPr>
      <w:r>
        <w:t xml:space="preserve">2.3 Stakeholders</w:t>
      </w:r>
    </w:p>
    <w:p>
      <w:pPr>
        <w:pStyle w:val="FirstParagraph"/>
      </w:pPr>
      <w:r>
        <w:t xml:space="preserve">The management of textbooks involves numerous stakeholders, each with specific responsibilities.</w:t>
      </w:r>
    </w:p>
    <w:bookmarkStart w:id="24" w:name="national-level"/>
    <w:p>
      <w:pPr>
        <w:pStyle w:val="Heading3"/>
      </w:pPr>
      <w:r>
        <w:t xml:space="preserve">National Level</w:t>
      </w:r>
    </w:p>
    <w:p>
      <w:pPr>
        <w:pStyle w:val="Compact"/>
        <w:numPr>
          <w:ilvl w:val="0"/>
          <w:numId w:val="1002"/>
        </w:numPr>
      </w:pPr>
      <w:r>
        <w:t xml:space="preserve">Ministry responsible for education</w:t>
      </w:r>
    </w:p>
    <w:p>
      <w:pPr>
        <w:pStyle w:val="Compact"/>
        <w:numPr>
          <w:ilvl w:val="0"/>
          <w:numId w:val="1002"/>
        </w:numPr>
      </w:pPr>
      <w:r>
        <w:t xml:space="preserve">Curriculum and pedagogical services</w:t>
      </w:r>
    </w:p>
    <w:p>
      <w:pPr>
        <w:pStyle w:val="Compact"/>
        <w:numPr>
          <w:ilvl w:val="0"/>
          <w:numId w:val="1002"/>
        </w:numPr>
      </w:pPr>
      <w:r>
        <w:t xml:space="preserve">Procurement and finance departments</w:t>
      </w:r>
    </w:p>
    <w:p>
      <w:pPr>
        <w:pStyle w:val="Compact"/>
        <w:numPr>
          <w:ilvl w:val="0"/>
          <w:numId w:val="1002"/>
        </w:numPr>
      </w:pPr>
      <w:r>
        <w:t xml:space="preserve">National warehouses</w:t>
      </w:r>
    </w:p>
    <w:p>
      <w:pPr>
        <w:pStyle w:val="Compact"/>
        <w:numPr>
          <w:ilvl w:val="0"/>
          <w:numId w:val="1002"/>
        </w:numPr>
      </w:pPr>
      <w:r>
        <w:t xml:space="preserve">Development partners</w:t>
      </w:r>
    </w:p>
    <w:p>
      <w:pPr>
        <w:pStyle w:val="Compact"/>
        <w:numPr>
          <w:ilvl w:val="0"/>
          <w:numId w:val="1002"/>
        </w:numPr>
      </w:pPr>
      <w:r>
        <w:t xml:space="preserve">Publishers and printing companies</w:t>
      </w:r>
    </w:p>
    <w:bookmarkEnd w:id="24"/>
    <w:bookmarkStart w:id="25" w:name="regional-level"/>
    <w:p>
      <w:pPr>
        <w:pStyle w:val="Heading3"/>
      </w:pPr>
      <w:r>
        <w:t xml:space="preserve">Regional Level</w:t>
      </w:r>
    </w:p>
    <w:p>
      <w:pPr>
        <w:pStyle w:val="Compact"/>
        <w:numPr>
          <w:ilvl w:val="0"/>
          <w:numId w:val="1003"/>
        </w:numPr>
      </w:pPr>
      <w:r>
        <w:t xml:space="preserve">Regional Delegations</w:t>
      </w:r>
    </w:p>
    <w:p>
      <w:pPr>
        <w:pStyle w:val="Compact"/>
        <w:numPr>
          <w:ilvl w:val="0"/>
          <w:numId w:val="1003"/>
        </w:numPr>
      </w:pPr>
      <w:r>
        <w:t xml:space="preserve">Regional warehouses</w:t>
      </w:r>
    </w:p>
    <w:p>
      <w:pPr>
        <w:pStyle w:val="Compact"/>
        <w:numPr>
          <w:ilvl w:val="0"/>
          <w:numId w:val="1003"/>
        </w:numPr>
      </w:pPr>
      <w:r>
        <w:t xml:space="preserve">Regional inspectors</w:t>
      </w:r>
    </w:p>
    <w:p>
      <w:pPr>
        <w:pStyle w:val="Compact"/>
        <w:numPr>
          <w:ilvl w:val="0"/>
          <w:numId w:val="1003"/>
        </w:numPr>
      </w:pPr>
      <w:r>
        <w:t xml:space="preserve">Logistics coordinators</w:t>
      </w:r>
    </w:p>
    <w:bookmarkEnd w:id="25"/>
    <w:bookmarkStart w:id="26" w:name="divisional-level"/>
    <w:p>
      <w:pPr>
        <w:pStyle w:val="Heading3"/>
      </w:pPr>
      <w:r>
        <w:t xml:space="preserve">Divisional Level</w:t>
      </w:r>
    </w:p>
    <w:p>
      <w:pPr>
        <w:pStyle w:val="Compact"/>
        <w:numPr>
          <w:ilvl w:val="0"/>
          <w:numId w:val="1004"/>
        </w:numPr>
      </w:pPr>
      <w:r>
        <w:t xml:space="preserve">Divisional Delegations</w:t>
      </w:r>
    </w:p>
    <w:p>
      <w:pPr>
        <w:pStyle w:val="Compact"/>
        <w:numPr>
          <w:ilvl w:val="0"/>
          <w:numId w:val="1004"/>
        </w:numPr>
      </w:pPr>
      <w:r>
        <w:t xml:space="preserve">Divisional inspectors</w:t>
      </w:r>
    </w:p>
    <w:p>
      <w:pPr>
        <w:pStyle w:val="Compact"/>
        <w:numPr>
          <w:ilvl w:val="0"/>
          <w:numId w:val="1004"/>
        </w:numPr>
      </w:pPr>
      <w:r>
        <w:t xml:space="preserve">Distribution officers</w:t>
      </w:r>
    </w:p>
    <w:bookmarkEnd w:id="26"/>
    <w:bookmarkStart w:id="27" w:name="school-level"/>
    <w:p>
      <w:pPr>
        <w:pStyle w:val="Heading3"/>
      </w:pPr>
      <w:r>
        <w:t xml:space="preserve">School Level</w:t>
      </w:r>
    </w:p>
    <w:p>
      <w:pPr>
        <w:pStyle w:val="Compact"/>
        <w:numPr>
          <w:ilvl w:val="0"/>
          <w:numId w:val="1005"/>
        </w:numPr>
      </w:pPr>
      <w:r>
        <w:t xml:space="preserve">Principals</w:t>
      </w:r>
    </w:p>
    <w:p>
      <w:pPr>
        <w:pStyle w:val="Compact"/>
        <w:numPr>
          <w:ilvl w:val="0"/>
          <w:numId w:val="1005"/>
        </w:numPr>
      </w:pPr>
      <w:r>
        <w:t xml:space="preserve">Vice principals</w:t>
      </w:r>
    </w:p>
    <w:p>
      <w:pPr>
        <w:pStyle w:val="Compact"/>
        <w:numPr>
          <w:ilvl w:val="0"/>
          <w:numId w:val="1005"/>
        </w:numPr>
      </w:pPr>
      <w:r>
        <w:t xml:space="preserve">Bursars</w:t>
      </w:r>
    </w:p>
    <w:p>
      <w:pPr>
        <w:pStyle w:val="Compact"/>
        <w:numPr>
          <w:ilvl w:val="0"/>
          <w:numId w:val="1005"/>
        </w:numPr>
      </w:pPr>
      <w:r>
        <w:t xml:space="preserve">Storekeepers</w:t>
      </w:r>
    </w:p>
    <w:p>
      <w:pPr>
        <w:pStyle w:val="Compact"/>
        <w:numPr>
          <w:ilvl w:val="0"/>
          <w:numId w:val="1005"/>
        </w:numPr>
      </w:pPr>
      <w:r>
        <w:t xml:space="preserve">Librarians</w:t>
      </w:r>
    </w:p>
    <w:p>
      <w:pPr>
        <w:pStyle w:val="Compact"/>
        <w:numPr>
          <w:ilvl w:val="0"/>
          <w:numId w:val="1005"/>
        </w:numPr>
      </w:pPr>
      <w:r>
        <w:t xml:space="preserve">Heads of departments</w:t>
      </w:r>
    </w:p>
    <w:p>
      <w:pPr>
        <w:pStyle w:val="Compact"/>
        <w:numPr>
          <w:ilvl w:val="0"/>
          <w:numId w:val="1005"/>
        </w:numPr>
      </w:pPr>
      <w:r>
        <w:t xml:space="preserve">Teachers</w:t>
      </w:r>
    </w:p>
    <w:bookmarkEnd w:id="27"/>
    <w:bookmarkStart w:id="28" w:name="beneficiaries"/>
    <w:p>
      <w:pPr>
        <w:pStyle w:val="Heading3"/>
      </w:pPr>
      <w:r>
        <w:t xml:space="preserve">Beneficiaries</w:t>
      </w:r>
    </w:p>
    <w:p>
      <w:pPr>
        <w:pStyle w:val="Compact"/>
        <w:numPr>
          <w:ilvl w:val="0"/>
          <w:numId w:val="1006"/>
        </w:numPr>
      </w:pPr>
      <w:r>
        <w:t xml:space="preserve">Students</w:t>
      </w:r>
    </w:p>
    <w:p>
      <w:pPr>
        <w:pStyle w:val="Compact"/>
        <w:numPr>
          <w:ilvl w:val="0"/>
          <w:numId w:val="1006"/>
        </w:numPr>
      </w:pPr>
      <w:r>
        <w:t xml:space="preserve">Parents and guardians</w:t>
      </w:r>
    </w:p>
    <w:p>
      <w:pPr>
        <w:pStyle w:val="Compact"/>
        <w:numPr>
          <w:ilvl w:val="0"/>
          <w:numId w:val="1006"/>
        </w:numPr>
      </w:pPr>
      <w:r>
        <w:t xml:space="preserve">Communities</w:t>
      </w:r>
    </w:p>
    <w:p>
      <w:r>
        <w:pict>
          <v:rect style="width:0;height:1.5pt" o:hralign="center" o:hrstd="t" o:hr="t"/>
        </w:pict>
      </w:r>
    </w:p>
    <w:bookmarkEnd w:id="28"/>
    <w:bookmarkEnd w:id="29"/>
    <w:bookmarkStart w:id="30" w:name="the-national-textbook-lifecycle"/>
    <w:p>
      <w:pPr>
        <w:pStyle w:val="Heading1"/>
      </w:pPr>
      <w:r>
        <w:t xml:space="preserve">2.4 The National Textbook Lifecycle</w:t>
      </w:r>
    </w:p>
    <w:p>
      <w:pPr>
        <w:pStyle w:val="FirstParagraph"/>
      </w:pPr>
      <w:r>
        <w:t xml:space="preserve">The lifecycle of a textbook can be represented as follows:</w:t>
      </w:r>
    </w:p>
    <w:p>
      <w:pPr>
        <w:pStyle w:val="BodyText"/>
      </w:pPr>
      <w:r>
        <w:t xml:space="preserve">Policy &amp; Curriculum Development</w:t>
      </w:r>
    </w:p>
    <w:p>
      <w:pPr>
        <w:pStyle w:val="BodyText"/>
      </w:pPr>
      <w:r>
        <w:t xml:space="preserve">↓</w:t>
      </w:r>
    </w:p>
    <w:p>
      <w:pPr>
        <w:pStyle w:val="BodyText"/>
      </w:pPr>
      <w:r>
        <w:t xml:space="preserve">Demand Forecasting</w:t>
      </w:r>
    </w:p>
    <w:p>
      <w:pPr>
        <w:pStyle w:val="BodyText"/>
      </w:pPr>
      <w:r>
        <w:t xml:space="preserve">↓</w:t>
      </w:r>
    </w:p>
    <w:p>
      <w:pPr>
        <w:pStyle w:val="BodyText"/>
      </w:pPr>
      <w:r>
        <w:t xml:space="preserve">Budget Allocation</w:t>
      </w:r>
    </w:p>
    <w:p>
      <w:pPr>
        <w:pStyle w:val="BodyText"/>
      </w:pPr>
      <w:r>
        <w:t xml:space="preserve">↓</w:t>
      </w:r>
    </w:p>
    <w:p>
      <w:pPr>
        <w:pStyle w:val="BodyText"/>
      </w:pPr>
      <w:r>
        <w:t xml:space="preserve">Procurement</w:t>
      </w:r>
    </w:p>
    <w:p>
      <w:pPr>
        <w:pStyle w:val="BodyText"/>
      </w:pPr>
      <w:r>
        <w:t xml:space="preserve">↓</w:t>
      </w:r>
    </w:p>
    <w:p>
      <w:pPr>
        <w:pStyle w:val="BodyText"/>
      </w:pPr>
      <w:r>
        <w:t xml:space="preserve">Printing</w:t>
      </w:r>
    </w:p>
    <w:p>
      <w:pPr>
        <w:pStyle w:val="BodyText"/>
      </w:pPr>
      <w:r>
        <w:t xml:space="preserve">↓</w:t>
      </w:r>
    </w:p>
    <w:p>
      <w:pPr>
        <w:pStyle w:val="BodyText"/>
      </w:pPr>
      <w:r>
        <w:t xml:space="preserve">Quality Assurance</w:t>
      </w:r>
    </w:p>
    <w:p>
      <w:pPr>
        <w:pStyle w:val="BodyText"/>
      </w:pPr>
      <w:r>
        <w:t xml:space="preserve">↓</w:t>
      </w:r>
    </w:p>
    <w:p>
      <w:pPr>
        <w:pStyle w:val="BodyText"/>
      </w:pPr>
      <w:r>
        <w:t xml:space="preserve">National Warehouse</w:t>
      </w:r>
    </w:p>
    <w:p>
      <w:pPr>
        <w:pStyle w:val="BodyText"/>
      </w:pPr>
      <w:r>
        <w:t xml:space="preserve">↓</w:t>
      </w:r>
    </w:p>
    <w:p>
      <w:pPr>
        <w:pStyle w:val="BodyText"/>
      </w:pPr>
      <w:r>
        <w:t xml:space="preserve">Regional Distribution</w:t>
      </w:r>
    </w:p>
    <w:p>
      <w:pPr>
        <w:pStyle w:val="BodyText"/>
      </w:pPr>
      <w:r>
        <w:t xml:space="preserve">↓</w:t>
      </w:r>
    </w:p>
    <w:p>
      <w:pPr>
        <w:pStyle w:val="BodyText"/>
      </w:pPr>
      <w:r>
        <w:t xml:space="preserve">Divisional Distribution</w:t>
      </w:r>
    </w:p>
    <w:p>
      <w:pPr>
        <w:pStyle w:val="BodyText"/>
      </w:pPr>
      <w:r>
        <w:t xml:space="preserve">↓</w:t>
      </w:r>
    </w:p>
    <w:p>
      <w:pPr>
        <w:pStyle w:val="BodyText"/>
      </w:pPr>
      <w:r>
        <w:t xml:space="preserve">School Reception</w:t>
      </w:r>
    </w:p>
    <w:p>
      <w:pPr>
        <w:pStyle w:val="BodyText"/>
      </w:pPr>
      <w:r>
        <w:t xml:space="preserve">↓</w:t>
      </w:r>
    </w:p>
    <w:p>
      <w:pPr>
        <w:pStyle w:val="BodyText"/>
      </w:pPr>
      <w:r>
        <w:t xml:space="preserve">School Inventory</w:t>
      </w:r>
    </w:p>
    <w:p>
      <w:pPr>
        <w:pStyle w:val="BodyText"/>
      </w:pPr>
      <w:r>
        <w:t xml:space="preserve">↓</w:t>
      </w:r>
    </w:p>
    <w:p>
      <w:pPr>
        <w:pStyle w:val="BodyText"/>
      </w:pPr>
      <w:r>
        <w:t xml:space="preserve">Classroom Allocation</w:t>
      </w:r>
    </w:p>
    <w:p>
      <w:pPr>
        <w:pStyle w:val="BodyText"/>
      </w:pPr>
      <w:r>
        <w:t xml:space="preserve">↓</w:t>
      </w:r>
    </w:p>
    <w:p>
      <w:pPr>
        <w:pStyle w:val="BodyText"/>
      </w:pPr>
      <w:r>
        <w:t xml:space="preserve">Student Usage</w:t>
      </w:r>
    </w:p>
    <w:p>
      <w:pPr>
        <w:pStyle w:val="BodyText"/>
      </w:pPr>
      <w:r>
        <w:t xml:space="preserve">↓</w:t>
      </w:r>
    </w:p>
    <w:p>
      <w:pPr>
        <w:pStyle w:val="BodyText"/>
      </w:pPr>
      <w:r>
        <w:t xml:space="preserve">Annual Verification</w:t>
      </w:r>
    </w:p>
    <w:p>
      <w:pPr>
        <w:pStyle w:val="BodyText"/>
      </w:pPr>
      <w:r>
        <w:t xml:space="preserve">↓</w:t>
      </w:r>
    </w:p>
    <w:p>
      <w:pPr>
        <w:pStyle w:val="BodyText"/>
      </w:pPr>
      <w:r>
        <w:t xml:space="preserve">Return &amp; Recovery</w:t>
      </w:r>
    </w:p>
    <w:p>
      <w:pPr>
        <w:pStyle w:val="BodyText"/>
      </w:pPr>
      <w:r>
        <w:t xml:space="preserve">↓</w:t>
      </w:r>
    </w:p>
    <w:p>
      <w:pPr>
        <w:pStyle w:val="BodyText"/>
      </w:pPr>
      <w:r>
        <w:t xml:space="preserve">Repair &amp; Reconditioning</w:t>
      </w:r>
    </w:p>
    <w:p>
      <w:pPr>
        <w:pStyle w:val="BodyText"/>
      </w:pPr>
      <w:r>
        <w:t xml:space="preserve">↓</w:t>
      </w:r>
    </w:p>
    <w:p>
      <w:pPr>
        <w:pStyle w:val="BodyText"/>
      </w:pPr>
      <w:r>
        <w:t xml:space="preserve">Redistribution</w:t>
      </w:r>
    </w:p>
    <w:p>
      <w:pPr>
        <w:pStyle w:val="BodyText"/>
      </w:pPr>
      <w:r>
        <w:t xml:space="preserve">↓</w:t>
      </w:r>
    </w:p>
    <w:p>
      <w:pPr>
        <w:pStyle w:val="BodyText"/>
      </w:pPr>
      <w:r>
        <w:t xml:space="preserve">Replacement</w:t>
      </w:r>
    </w:p>
    <w:p>
      <w:pPr>
        <w:pStyle w:val="BodyText"/>
      </w:pPr>
      <w:r>
        <w:t xml:space="preserve">↓</w:t>
      </w:r>
    </w:p>
    <w:p>
      <w:pPr>
        <w:pStyle w:val="BodyText"/>
      </w:pPr>
      <w:r>
        <w:t xml:space="preserve">Retirement &amp; Disposal</w:t>
      </w:r>
    </w:p>
    <w:p>
      <w:pPr>
        <w:pStyle w:val="BodyText"/>
      </w:pPr>
      <w:r>
        <w:t xml:space="preserve">Each stage must be managed effectively to ensure that public investments produce the intended educational outcomes.</w:t>
      </w:r>
    </w:p>
    <w:p>
      <w:r>
        <w:pict>
          <v:rect style="width:0;height:1.5pt" o:hralign="center" o:hrstd="t" o:hr="t"/>
        </w:pict>
      </w:r>
    </w:p>
    <w:bookmarkEnd w:id="30"/>
    <w:bookmarkStart w:id="31" w:name="assessment-methodology"/>
    <w:p>
      <w:pPr>
        <w:pStyle w:val="Heading1"/>
      </w:pPr>
      <w:r>
        <w:t xml:space="preserve">2.5 Assessment Methodology</w:t>
      </w:r>
    </w:p>
    <w:p>
      <w:pPr>
        <w:pStyle w:val="FirstParagraph"/>
      </w:pPr>
      <w:r>
        <w:t xml:space="preserve">The assessment examines each stage of the lifecycle using a consistent analytical framework:</w:t>
      </w:r>
    </w:p>
    <w:p>
      <w:pPr>
        <w:pStyle w:val="Compact"/>
        <w:numPr>
          <w:ilvl w:val="0"/>
          <w:numId w:val="1007"/>
        </w:numPr>
      </w:pPr>
      <w:r>
        <w:t xml:space="preserve">Current process</w:t>
      </w:r>
    </w:p>
    <w:p>
      <w:pPr>
        <w:pStyle w:val="Compact"/>
        <w:numPr>
          <w:ilvl w:val="0"/>
          <w:numId w:val="1007"/>
        </w:numPr>
      </w:pPr>
      <w:r>
        <w:t xml:space="preserve">Key stakeholders</w:t>
      </w:r>
    </w:p>
    <w:p>
      <w:pPr>
        <w:pStyle w:val="Compact"/>
        <w:numPr>
          <w:ilvl w:val="0"/>
          <w:numId w:val="1007"/>
        </w:numPr>
      </w:pPr>
      <w:r>
        <w:t xml:space="preserve">Existing documentation</w:t>
      </w:r>
    </w:p>
    <w:p>
      <w:pPr>
        <w:pStyle w:val="Compact"/>
        <w:numPr>
          <w:ilvl w:val="0"/>
          <w:numId w:val="1007"/>
        </w:numPr>
      </w:pPr>
      <w:r>
        <w:t xml:space="preserve">Operational challenges</w:t>
      </w:r>
    </w:p>
    <w:p>
      <w:pPr>
        <w:pStyle w:val="Compact"/>
        <w:numPr>
          <w:ilvl w:val="0"/>
          <w:numId w:val="1007"/>
        </w:numPr>
      </w:pPr>
      <w:r>
        <w:t xml:space="preserve">Risks</w:t>
      </w:r>
    </w:p>
    <w:p>
      <w:pPr>
        <w:pStyle w:val="Compact"/>
        <w:numPr>
          <w:ilvl w:val="0"/>
          <w:numId w:val="1007"/>
        </w:numPr>
      </w:pPr>
      <w:r>
        <w:t xml:space="preserve">Information gaps</w:t>
      </w:r>
    </w:p>
    <w:p>
      <w:pPr>
        <w:pStyle w:val="Compact"/>
        <w:numPr>
          <w:ilvl w:val="0"/>
          <w:numId w:val="1007"/>
        </w:numPr>
      </w:pPr>
      <w:r>
        <w:t xml:space="preserve">Accountability challenges</w:t>
      </w:r>
    </w:p>
    <w:p>
      <w:pPr>
        <w:pStyle w:val="Compact"/>
        <w:numPr>
          <w:ilvl w:val="0"/>
          <w:numId w:val="1007"/>
        </w:numPr>
      </w:pPr>
      <w:r>
        <w:t xml:space="preserve">Technology opportunities</w:t>
      </w:r>
    </w:p>
    <w:p>
      <w:pPr>
        <w:pStyle w:val="Compact"/>
        <w:numPr>
          <w:ilvl w:val="0"/>
          <w:numId w:val="1007"/>
        </w:numPr>
      </w:pPr>
      <w:r>
        <w:t xml:space="preserve">Proposed digital interventions</w:t>
      </w:r>
    </w:p>
    <w:p>
      <w:pPr>
        <w:pStyle w:val="Compact"/>
        <w:numPr>
          <w:ilvl w:val="0"/>
          <w:numId w:val="1007"/>
        </w:numPr>
      </w:pPr>
      <w:r>
        <w:t xml:space="preserve">Expected outcomes</w:t>
      </w:r>
    </w:p>
    <w:p>
      <w:pPr>
        <w:pStyle w:val="Compact"/>
        <w:numPr>
          <w:ilvl w:val="0"/>
          <w:numId w:val="1007"/>
        </w:numPr>
      </w:pPr>
      <w:r>
        <w:t xml:space="preserve">Performance indicators</w:t>
      </w:r>
    </w:p>
    <w:p>
      <w:pPr>
        <w:pStyle w:val="FirstParagraph"/>
      </w:pPr>
      <w:r>
        <w:t xml:space="preserve">This approach ensures that every identified challenge is linked to a practical solution.</w:t>
      </w:r>
    </w:p>
    <w:p>
      <w:r>
        <w:pict>
          <v:rect style="width:0;height:1.5pt" o:hralign="center" o:hrstd="t" o:hr="t"/>
        </w:pict>
      </w:r>
    </w:p>
    <w:bookmarkEnd w:id="31"/>
    <w:bookmarkStart w:id="32" w:name="guiding-principles"/>
    <w:p>
      <w:pPr>
        <w:pStyle w:val="Heading1"/>
      </w:pPr>
      <w:r>
        <w:t xml:space="preserve">2.6 Guiding Principles</w:t>
      </w:r>
    </w:p>
    <w:p>
      <w:pPr>
        <w:pStyle w:val="FirstParagraph"/>
      </w:pPr>
      <w:r>
        <w:t xml:space="preserve">The proposed platform is based on the following principles:</w:t>
      </w:r>
    </w:p>
    <w:p>
      <w:pPr>
        <w:pStyle w:val="Compact"/>
        <w:numPr>
          <w:ilvl w:val="0"/>
          <w:numId w:val="1008"/>
        </w:numPr>
      </w:pPr>
      <w:r>
        <w:t xml:space="preserve">Transparency</w:t>
      </w:r>
    </w:p>
    <w:p>
      <w:pPr>
        <w:pStyle w:val="Compact"/>
        <w:numPr>
          <w:ilvl w:val="0"/>
          <w:numId w:val="1008"/>
        </w:numPr>
      </w:pPr>
      <w:r>
        <w:t xml:space="preserve">Accountability</w:t>
      </w:r>
    </w:p>
    <w:p>
      <w:pPr>
        <w:pStyle w:val="Compact"/>
        <w:numPr>
          <w:ilvl w:val="0"/>
          <w:numId w:val="1008"/>
        </w:numPr>
      </w:pPr>
      <w:r>
        <w:t xml:space="preserve">Simplicity</w:t>
      </w:r>
    </w:p>
    <w:p>
      <w:pPr>
        <w:pStyle w:val="Compact"/>
        <w:numPr>
          <w:ilvl w:val="0"/>
          <w:numId w:val="1008"/>
        </w:numPr>
      </w:pPr>
      <w:r>
        <w:t xml:space="preserve">Interoperability</w:t>
      </w:r>
    </w:p>
    <w:p>
      <w:pPr>
        <w:pStyle w:val="Compact"/>
        <w:numPr>
          <w:ilvl w:val="0"/>
          <w:numId w:val="1008"/>
        </w:numPr>
      </w:pPr>
      <w:r>
        <w:t xml:space="preserve">Offline-first operation</w:t>
      </w:r>
    </w:p>
    <w:p>
      <w:pPr>
        <w:pStyle w:val="Compact"/>
        <w:numPr>
          <w:ilvl w:val="0"/>
          <w:numId w:val="1008"/>
        </w:numPr>
      </w:pPr>
      <w:r>
        <w:t xml:space="preserve">Scalability</w:t>
      </w:r>
    </w:p>
    <w:p>
      <w:pPr>
        <w:pStyle w:val="Compact"/>
        <w:numPr>
          <w:ilvl w:val="0"/>
          <w:numId w:val="1008"/>
        </w:numPr>
      </w:pPr>
      <w:r>
        <w:t xml:space="preserve">Security</w:t>
      </w:r>
    </w:p>
    <w:p>
      <w:pPr>
        <w:pStyle w:val="Compact"/>
        <w:numPr>
          <w:ilvl w:val="0"/>
          <w:numId w:val="1008"/>
        </w:numPr>
      </w:pPr>
      <w:r>
        <w:t xml:space="preserve">Data quality</w:t>
      </w:r>
    </w:p>
    <w:p>
      <w:pPr>
        <w:pStyle w:val="Compact"/>
        <w:numPr>
          <w:ilvl w:val="0"/>
          <w:numId w:val="1008"/>
        </w:numPr>
      </w:pPr>
      <w:r>
        <w:t xml:space="preserve">Sustainability</w:t>
      </w:r>
    </w:p>
    <w:p>
      <w:pPr>
        <w:pStyle w:val="Compact"/>
        <w:numPr>
          <w:ilvl w:val="0"/>
          <w:numId w:val="1008"/>
        </w:numPr>
      </w:pPr>
      <w:r>
        <w:t xml:space="preserve">User-centered design</w:t>
      </w:r>
    </w:p>
    <w:p>
      <w:pPr>
        <w:pStyle w:val="FirstParagraph"/>
      </w:pPr>
      <w:r>
        <w:t xml:space="preserve">These principles will guide the design and implementation of every component of the system.</w:t>
      </w:r>
    </w:p>
    <w:p>
      <w:r>
        <w:pict>
          <v:rect style="width:0;height:1.5pt" o:hralign="center" o:hrstd="t" o:hr="t"/>
        </w:pict>
      </w:r>
    </w:p>
    <w:bookmarkEnd w:id="32"/>
    <w:bookmarkStart w:id="33" w:name="expected-outcome-of-the-assessment"/>
    <w:p>
      <w:pPr>
        <w:pStyle w:val="Heading1"/>
      </w:pPr>
      <w:r>
        <w:t xml:space="preserve">2.7 Expected Outcome of the Assessment</w:t>
      </w:r>
    </w:p>
    <w:p>
      <w:pPr>
        <w:pStyle w:val="FirstParagraph"/>
      </w:pPr>
      <w:r>
        <w:t xml:space="preserve">At the conclusion of this assessment, the project will provide:</w:t>
      </w:r>
    </w:p>
    <w:p>
      <w:pPr>
        <w:pStyle w:val="Compact"/>
        <w:numPr>
          <w:ilvl w:val="0"/>
          <w:numId w:val="1009"/>
        </w:numPr>
      </w:pPr>
      <w:r>
        <w:t xml:space="preserve">A comprehensive map of the national textbook lifecycle.</w:t>
      </w:r>
    </w:p>
    <w:p>
      <w:pPr>
        <w:pStyle w:val="Compact"/>
        <w:numPr>
          <w:ilvl w:val="0"/>
          <w:numId w:val="1009"/>
        </w:numPr>
      </w:pPr>
      <w:r>
        <w:t xml:space="preserve">Identification of operational and governance gaps.</w:t>
      </w:r>
    </w:p>
    <w:p>
      <w:pPr>
        <w:pStyle w:val="Compact"/>
        <w:numPr>
          <w:ilvl w:val="0"/>
          <w:numId w:val="1009"/>
        </w:numPr>
      </w:pPr>
      <w:r>
        <w:t xml:space="preserve">A catalogue of digital transformation opportunities.</w:t>
      </w:r>
    </w:p>
    <w:p>
      <w:pPr>
        <w:pStyle w:val="Compact"/>
        <w:numPr>
          <w:ilvl w:val="0"/>
          <w:numId w:val="1009"/>
        </w:numPr>
      </w:pPr>
      <w:r>
        <w:t xml:space="preserve">Functional requirements for the proposed platform.</w:t>
      </w:r>
    </w:p>
    <w:p>
      <w:pPr>
        <w:pStyle w:val="Compact"/>
        <w:numPr>
          <w:ilvl w:val="0"/>
          <w:numId w:val="1009"/>
        </w:numPr>
      </w:pPr>
      <w:r>
        <w:t xml:space="preserve">Recommendations for improving efficiency, transparency, and accountability across the textbook management process.</w:t>
      </w:r>
    </w:p>
    <w:p>
      <w:pPr>
        <w:pStyle w:val="FirstParagraph"/>
      </w:pPr>
      <w:r>
        <w:t xml:space="preserve">This assessment forms the foundation for the subsequent chapters, where each stage of the textbook lifecycle will be examined in detail and matched with targeted digital solutions that support the Ministry’s objectives and strengthen the management of educational resources nationwide.</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2026-07-10T12:50:06Z</dcterms:created>
  <dcterms:modified xsi:type="dcterms:W3CDTF">2026-07-10T12:50:06Z</dcterms:modified>
</cp:coreProperties>
</file>

<file path=docProps/custom.xml><?xml version="1.0" encoding="utf-8"?>
<Properties xmlns="http://schemas.openxmlformats.org/officeDocument/2006/custom-properties" xmlns:vt="http://schemas.openxmlformats.org/officeDocument/2006/docPropsVTypes"/>
</file>