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452"/>
        <w:gridCol w:w="1647"/>
        <w:gridCol w:w="1286"/>
        <w:gridCol w:w="1627"/>
        <w:gridCol w:w="1181"/>
        <w:gridCol w:w="1846"/>
        <w:gridCol w:w="1874"/>
      </w:tblGrid>
      <w:tr w:rsidR="005E3455" w:rsidRPr="005E3455" w14:paraId="6DE6C4F3" w14:textId="77777777" w:rsidTr="005E3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0D391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Framework/Standard</w:t>
            </w:r>
          </w:p>
        </w:tc>
        <w:tc>
          <w:tcPr>
            <w:tcW w:w="0" w:type="auto"/>
            <w:vAlign w:val="center"/>
            <w:hideMark/>
          </w:tcPr>
          <w:p w14:paraId="7B112FE6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5D677CAB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6269E89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29CD59E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Reporting Requirement</w:t>
            </w:r>
          </w:p>
        </w:tc>
        <w:tc>
          <w:tcPr>
            <w:tcW w:w="0" w:type="auto"/>
            <w:vAlign w:val="center"/>
            <w:hideMark/>
          </w:tcPr>
          <w:p w14:paraId="05BC052A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Alignment with Other Standards</w:t>
            </w:r>
          </w:p>
        </w:tc>
        <w:tc>
          <w:tcPr>
            <w:tcW w:w="0" w:type="auto"/>
            <w:vAlign w:val="center"/>
            <w:hideMark/>
          </w:tcPr>
          <w:p w14:paraId="191ECBFD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Industry-Specific Guidance</w:t>
            </w:r>
          </w:p>
        </w:tc>
        <w:tc>
          <w:tcPr>
            <w:tcW w:w="0" w:type="auto"/>
            <w:vAlign w:val="center"/>
            <w:hideMark/>
          </w:tcPr>
          <w:p w14:paraId="4D84776F" w14:textId="77777777" w:rsidR="005E3455" w:rsidRPr="005E3455" w:rsidRDefault="005E3455" w:rsidP="005E3455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Key Features</w:t>
            </w:r>
          </w:p>
        </w:tc>
      </w:tr>
      <w:tr w:rsidR="005E3455" w:rsidRPr="005E3455" w14:paraId="32CFABA9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8022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SASB</w:t>
            </w:r>
          </w:p>
        </w:tc>
        <w:tc>
          <w:tcPr>
            <w:tcW w:w="0" w:type="auto"/>
            <w:vAlign w:val="center"/>
            <w:hideMark/>
          </w:tcPr>
          <w:p w14:paraId="32267ABC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Sustainability Accounting Standards Board</w:t>
            </w:r>
          </w:p>
        </w:tc>
        <w:tc>
          <w:tcPr>
            <w:tcW w:w="0" w:type="auto"/>
            <w:vAlign w:val="center"/>
            <w:hideMark/>
          </w:tcPr>
          <w:p w14:paraId="093F44BC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Industry-specific ESG performance</w:t>
            </w:r>
          </w:p>
        </w:tc>
        <w:tc>
          <w:tcPr>
            <w:tcW w:w="0" w:type="auto"/>
            <w:vAlign w:val="center"/>
            <w:hideMark/>
          </w:tcPr>
          <w:p w14:paraId="5B3C89E1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Global, with focus on U.S. companies</w:t>
            </w:r>
          </w:p>
        </w:tc>
        <w:tc>
          <w:tcPr>
            <w:tcW w:w="0" w:type="auto"/>
            <w:vAlign w:val="center"/>
            <w:hideMark/>
          </w:tcPr>
          <w:p w14:paraId="3C8275AC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Voluntary, but often integrated in financial disclosures</w:t>
            </w:r>
          </w:p>
        </w:tc>
        <w:tc>
          <w:tcPr>
            <w:tcW w:w="0" w:type="auto"/>
            <w:vAlign w:val="center"/>
            <w:hideMark/>
          </w:tcPr>
          <w:p w14:paraId="73E927C4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TCFD, GRI</w:t>
            </w:r>
          </w:p>
        </w:tc>
        <w:tc>
          <w:tcPr>
            <w:tcW w:w="0" w:type="auto"/>
            <w:vAlign w:val="center"/>
            <w:hideMark/>
          </w:tcPr>
          <w:p w14:paraId="52A773B4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Yes, 77 industry-specific standards</w:t>
            </w:r>
          </w:p>
        </w:tc>
        <w:tc>
          <w:tcPr>
            <w:tcW w:w="0" w:type="auto"/>
            <w:vAlign w:val="center"/>
            <w:hideMark/>
          </w:tcPr>
          <w:p w14:paraId="7D0E90A3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Focuses on financially material sustainability issues relevant to investors</w:t>
            </w:r>
          </w:p>
        </w:tc>
      </w:tr>
      <w:tr w:rsidR="005E3455" w:rsidRPr="005E3455" w14:paraId="72C8503A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4231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SBTi</w:t>
            </w:r>
          </w:p>
        </w:tc>
        <w:tc>
          <w:tcPr>
            <w:tcW w:w="0" w:type="auto"/>
            <w:vAlign w:val="center"/>
            <w:hideMark/>
          </w:tcPr>
          <w:p w14:paraId="6C6D3CCC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Science-Based Targets initiative</w:t>
            </w:r>
          </w:p>
        </w:tc>
        <w:tc>
          <w:tcPr>
            <w:tcW w:w="0" w:type="auto"/>
            <w:vAlign w:val="center"/>
            <w:hideMark/>
          </w:tcPr>
          <w:p w14:paraId="35C246A3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Climate goals, GHG emissions reductions</w:t>
            </w:r>
          </w:p>
        </w:tc>
        <w:tc>
          <w:tcPr>
            <w:tcW w:w="0" w:type="auto"/>
            <w:vAlign w:val="center"/>
            <w:hideMark/>
          </w:tcPr>
          <w:p w14:paraId="791C9DAC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59D9D41B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Voluntary; companies commit to setting science-based emissions reduction targets</w:t>
            </w:r>
          </w:p>
        </w:tc>
        <w:tc>
          <w:tcPr>
            <w:tcW w:w="0" w:type="auto"/>
            <w:vAlign w:val="center"/>
            <w:hideMark/>
          </w:tcPr>
          <w:p w14:paraId="14AAFCFB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CDP, TCFD, Paris Agreement</w:t>
            </w:r>
          </w:p>
        </w:tc>
        <w:tc>
          <w:tcPr>
            <w:tcW w:w="0" w:type="auto"/>
            <w:vAlign w:val="center"/>
            <w:hideMark/>
          </w:tcPr>
          <w:p w14:paraId="7EB7F59B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No, but applicable to various sectors</w:t>
            </w:r>
          </w:p>
        </w:tc>
        <w:tc>
          <w:tcPr>
            <w:tcW w:w="0" w:type="auto"/>
            <w:vAlign w:val="center"/>
            <w:hideMark/>
          </w:tcPr>
          <w:p w14:paraId="72564600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Focuses on aligning corporate emissions reduction targets with scientific goals (e.g., limiting global warming to 1.5°C)</w:t>
            </w:r>
          </w:p>
        </w:tc>
      </w:tr>
      <w:tr w:rsidR="005E3455" w:rsidRPr="005E3455" w14:paraId="0EA418A0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C65F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CSRD</w:t>
            </w:r>
          </w:p>
        </w:tc>
        <w:tc>
          <w:tcPr>
            <w:tcW w:w="0" w:type="auto"/>
            <w:vAlign w:val="center"/>
            <w:hideMark/>
          </w:tcPr>
          <w:p w14:paraId="5D58E361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Corporate Sustainability Reporting Directive</w:t>
            </w:r>
          </w:p>
        </w:tc>
        <w:tc>
          <w:tcPr>
            <w:tcW w:w="0" w:type="auto"/>
            <w:vAlign w:val="center"/>
            <w:hideMark/>
          </w:tcPr>
          <w:p w14:paraId="3617FB45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Comprehensive sustainability reporting</w:t>
            </w:r>
          </w:p>
        </w:tc>
        <w:tc>
          <w:tcPr>
            <w:tcW w:w="0" w:type="auto"/>
            <w:vAlign w:val="center"/>
            <w:hideMark/>
          </w:tcPr>
          <w:p w14:paraId="510F69A5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EU companies and non-EU companies operating in the EU</w:t>
            </w:r>
          </w:p>
        </w:tc>
        <w:tc>
          <w:tcPr>
            <w:tcW w:w="0" w:type="auto"/>
            <w:vAlign w:val="center"/>
            <w:hideMark/>
          </w:tcPr>
          <w:p w14:paraId="5754C824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Mandatory for large EU companies, phased approach starting in 2024</w:t>
            </w:r>
          </w:p>
        </w:tc>
        <w:tc>
          <w:tcPr>
            <w:tcW w:w="0" w:type="auto"/>
            <w:vAlign w:val="center"/>
            <w:hideMark/>
          </w:tcPr>
          <w:p w14:paraId="6A8EE7D0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European Green Deal, GRI</w:t>
            </w:r>
          </w:p>
        </w:tc>
        <w:tc>
          <w:tcPr>
            <w:tcW w:w="0" w:type="auto"/>
            <w:vAlign w:val="center"/>
            <w:hideMark/>
          </w:tcPr>
          <w:p w14:paraId="0760157F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No, but includes sector-specific indicators</w:t>
            </w:r>
          </w:p>
        </w:tc>
        <w:tc>
          <w:tcPr>
            <w:tcW w:w="0" w:type="auto"/>
            <w:vAlign w:val="center"/>
            <w:hideMark/>
          </w:tcPr>
          <w:p w14:paraId="0C255114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Expands on NFRD, integrates double materiality (financial + sustainability impact)</w:t>
            </w:r>
          </w:p>
        </w:tc>
      </w:tr>
      <w:tr w:rsidR="005E3455" w:rsidRPr="005E3455" w14:paraId="3A9A0631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79FB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TCFD</w:t>
            </w:r>
          </w:p>
        </w:tc>
        <w:tc>
          <w:tcPr>
            <w:tcW w:w="0" w:type="auto"/>
            <w:vAlign w:val="center"/>
            <w:hideMark/>
          </w:tcPr>
          <w:p w14:paraId="78C17370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Task Force on Climate-related Financial Disclosures</w:t>
            </w:r>
          </w:p>
        </w:tc>
        <w:tc>
          <w:tcPr>
            <w:tcW w:w="0" w:type="auto"/>
            <w:vAlign w:val="center"/>
            <w:hideMark/>
          </w:tcPr>
          <w:p w14:paraId="3076870D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Climate-related financial risk</w:t>
            </w:r>
          </w:p>
        </w:tc>
        <w:tc>
          <w:tcPr>
            <w:tcW w:w="0" w:type="auto"/>
            <w:vAlign w:val="center"/>
            <w:hideMark/>
          </w:tcPr>
          <w:p w14:paraId="4E27BED6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5D0EBA9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Voluntary, but increasingly adopted in mandatory disclosure regimes</w:t>
            </w:r>
          </w:p>
        </w:tc>
        <w:tc>
          <w:tcPr>
            <w:tcW w:w="0" w:type="auto"/>
            <w:vAlign w:val="center"/>
            <w:hideMark/>
          </w:tcPr>
          <w:p w14:paraId="1AED9D05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SASB, CDP, GRI</w:t>
            </w:r>
          </w:p>
        </w:tc>
        <w:tc>
          <w:tcPr>
            <w:tcW w:w="0" w:type="auto"/>
            <w:vAlign w:val="center"/>
            <w:hideMark/>
          </w:tcPr>
          <w:p w14:paraId="28AD8E80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No, general recommendations for all sectors</w:t>
            </w:r>
          </w:p>
        </w:tc>
        <w:tc>
          <w:tcPr>
            <w:tcW w:w="0" w:type="auto"/>
            <w:vAlign w:val="center"/>
            <w:hideMark/>
          </w:tcPr>
          <w:p w14:paraId="25409B7E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Emphasizes financial impact of climate risks, scenario analysis</w:t>
            </w:r>
          </w:p>
        </w:tc>
      </w:tr>
      <w:tr w:rsidR="005E3455" w:rsidRPr="005E3455" w14:paraId="5D799B49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6256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GRI</w:t>
            </w:r>
          </w:p>
        </w:tc>
        <w:tc>
          <w:tcPr>
            <w:tcW w:w="0" w:type="auto"/>
            <w:vAlign w:val="center"/>
            <w:hideMark/>
          </w:tcPr>
          <w:p w14:paraId="24856399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Global Reporting Initiative</w:t>
            </w:r>
          </w:p>
        </w:tc>
        <w:tc>
          <w:tcPr>
            <w:tcW w:w="0" w:type="auto"/>
            <w:vAlign w:val="center"/>
            <w:hideMark/>
          </w:tcPr>
          <w:p w14:paraId="2C4A9CB4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Broad sustainability impacts (ESG)</w:t>
            </w:r>
          </w:p>
        </w:tc>
        <w:tc>
          <w:tcPr>
            <w:tcW w:w="0" w:type="auto"/>
            <w:vAlign w:val="center"/>
            <w:hideMark/>
          </w:tcPr>
          <w:p w14:paraId="456A811A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21E7A8E0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Voluntary but widely adopted</w:t>
            </w:r>
          </w:p>
        </w:tc>
        <w:tc>
          <w:tcPr>
            <w:tcW w:w="0" w:type="auto"/>
            <w:vAlign w:val="center"/>
            <w:hideMark/>
          </w:tcPr>
          <w:p w14:paraId="4F465877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SASB, UN SDGs</w:t>
            </w:r>
          </w:p>
        </w:tc>
        <w:tc>
          <w:tcPr>
            <w:tcW w:w="0" w:type="auto"/>
            <w:vAlign w:val="center"/>
            <w:hideMark/>
          </w:tcPr>
          <w:p w14:paraId="58BCA4D2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Yes, sector standards available</w:t>
            </w:r>
          </w:p>
        </w:tc>
        <w:tc>
          <w:tcPr>
            <w:tcW w:w="0" w:type="auto"/>
            <w:vAlign w:val="center"/>
            <w:hideMark/>
          </w:tcPr>
          <w:p w14:paraId="580BF317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Focuses on the wider impact of sustainability on stakeholders, beyond financial materiality</w:t>
            </w:r>
          </w:p>
        </w:tc>
      </w:tr>
      <w:tr w:rsidR="005E3455" w:rsidRPr="005E3455" w14:paraId="6B879153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28DF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CDP</w:t>
            </w:r>
          </w:p>
        </w:tc>
        <w:tc>
          <w:tcPr>
            <w:tcW w:w="0" w:type="auto"/>
            <w:vAlign w:val="center"/>
            <w:hideMark/>
          </w:tcPr>
          <w:p w14:paraId="4DF7B553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Carbon Disclosure Project</w:t>
            </w:r>
          </w:p>
        </w:tc>
        <w:tc>
          <w:tcPr>
            <w:tcW w:w="0" w:type="auto"/>
            <w:vAlign w:val="center"/>
            <w:hideMark/>
          </w:tcPr>
          <w:p w14:paraId="32F4017A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Environmental impact, particularly carbon emissions</w:t>
            </w:r>
          </w:p>
        </w:tc>
        <w:tc>
          <w:tcPr>
            <w:tcW w:w="0" w:type="auto"/>
            <w:vAlign w:val="center"/>
            <w:hideMark/>
          </w:tcPr>
          <w:p w14:paraId="55E9745E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8222C30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Voluntary, but used by investors and governments</w:t>
            </w:r>
          </w:p>
        </w:tc>
        <w:tc>
          <w:tcPr>
            <w:tcW w:w="0" w:type="auto"/>
            <w:vAlign w:val="center"/>
            <w:hideMark/>
          </w:tcPr>
          <w:p w14:paraId="520618CF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SBTi, TCFD, GRI</w:t>
            </w:r>
          </w:p>
        </w:tc>
        <w:tc>
          <w:tcPr>
            <w:tcW w:w="0" w:type="auto"/>
            <w:vAlign w:val="center"/>
            <w:hideMark/>
          </w:tcPr>
          <w:p w14:paraId="4EF2A247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No, broad coverage across sectors</w:t>
            </w:r>
          </w:p>
        </w:tc>
        <w:tc>
          <w:tcPr>
            <w:tcW w:w="0" w:type="auto"/>
            <w:vAlign w:val="center"/>
            <w:hideMark/>
          </w:tcPr>
          <w:p w14:paraId="4D4858E8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Focuses on environmental disclosures, </w:t>
            </w: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lastRenderedPageBreak/>
              <w:t>especially climate and water security</w:t>
            </w:r>
          </w:p>
        </w:tc>
      </w:tr>
      <w:tr w:rsidR="005E3455" w:rsidRPr="005E3455" w14:paraId="2B16EB63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FD36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ISSB</w:t>
            </w:r>
          </w:p>
        </w:tc>
        <w:tc>
          <w:tcPr>
            <w:tcW w:w="0" w:type="auto"/>
            <w:vAlign w:val="center"/>
            <w:hideMark/>
          </w:tcPr>
          <w:p w14:paraId="67A4D536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International Sustainability Standards Board</w:t>
            </w:r>
          </w:p>
        </w:tc>
        <w:tc>
          <w:tcPr>
            <w:tcW w:w="0" w:type="auto"/>
            <w:vAlign w:val="center"/>
            <w:hideMark/>
          </w:tcPr>
          <w:p w14:paraId="3994553B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Comprehensive global sustainability standards</w:t>
            </w:r>
          </w:p>
        </w:tc>
        <w:tc>
          <w:tcPr>
            <w:tcW w:w="0" w:type="auto"/>
            <w:vAlign w:val="center"/>
            <w:hideMark/>
          </w:tcPr>
          <w:p w14:paraId="0A967F65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4AA1F9B1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Mandatory (in some jurisdictions), voluntary elsewhere</w:t>
            </w:r>
          </w:p>
        </w:tc>
        <w:tc>
          <w:tcPr>
            <w:tcW w:w="0" w:type="auto"/>
            <w:vAlign w:val="center"/>
            <w:hideMark/>
          </w:tcPr>
          <w:p w14:paraId="42F4D763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TCFD, SASB, IFRS</w:t>
            </w:r>
          </w:p>
        </w:tc>
        <w:tc>
          <w:tcPr>
            <w:tcW w:w="0" w:type="auto"/>
            <w:vAlign w:val="center"/>
            <w:hideMark/>
          </w:tcPr>
          <w:p w14:paraId="45F7D3DF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No, but builds on SASB’s industry-specific approach</w:t>
            </w:r>
          </w:p>
        </w:tc>
        <w:tc>
          <w:tcPr>
            <w:tcW w:w="0" w:type="auto"/>
            <w:vAlign w:val="center"/>
            <w:hideMark/>
          </w:tcPr>
          <w:p w14:paraId="4F87E2DC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Aims to create globally consistent, comparable sustainability standards, integrates financial materiality</w:t>
            </w:r>
          </w:p>
        </w:tc>
      </w:tr>
      <w:tr w:rsidR="005E3455" w:rsidRPr="005E3455" w14:paraId="7FA41C61" w14:textId="77777777" w:rsidTr="005E34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0A29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b/>
                <w:bCs/>
                <w:kern w:val="0"/>
                <w:sz w:val="20"/>
                <w:szCs w:val="20"/>
                <w14:ligatures w14:val="none"/>
              </w:rPr>
              <w:t>NFRD</w:t>
            </w:r>
          </w:p>
        </w:tc>
        <w:tc>
          <w:tcPr>
            <w:tcW w:w="0" w:type="auto"/>
            <w:vAlign w:val="center"/>
            <w:hideMark/>
          </w:tcPr>
          <w:p w14:paraId="24FF8E87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Non-Financial Reporting Directive</w:t>
            </w:r>
          </w:p>
        </w:tc>
        <w:tc>
          <w:tcPr>
            <w:tcW w:w="0" w:type="auto"/>
            <w:vAlign w:val="center"/>
            <w:hideMark/>
          </w:tcPr>
          <w:p w14:paraId="7B0B9D64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Sustainability-related disclosures for large companies</w:t>
            </w:r>
          </w:p>
        </w:tc>
        <w:tc>
          <w:tcPr>
            <w:tcW w:w="0" w:type="auto"/>
            <w:vAlign w:val="center"/>
            <w:hideMark/>
          </w:tcPr>
          <w:p w14:paraId="07A2090E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6E421DFF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Mandatory for large EU public-interest entities</w:t>
            </w:r>
          </w:p>
        </w:tc>
        <w:tc>
          <w:tcPr>
            <w:tcW w:w="0" w:type="auto"/>
            <w:vAlign w:val="center"/>
            <w:hideMark/>
          </w:tcPr>
          <w:p w14:paraId="7985BD83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Aligned with GRI, TCFD</w:t>
            </w:r>
          </w:p>
        </w:tc>
        <w:tc>
          <w:tcPr>
            <w:tcW w:w="0" w:type="auto"/>
            <w:vAlign w:val="center"/>
            <w:hideMark/>
          </w:tcPr>
          <w:p w14:paraId="1AC450CA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No, broad applicability across sectors</w:t>
            </w:r>
          </w:p>
        </w:tc>
        <w:tc>
          <w:tcPr>
            <w:tcW w:w="0" w:type="auto"/>
            <w:vAlign w:val="center"/>
            <w:hideMark/>
          </w:tcPr>
          <w:p w14:paraId="785C1525" w14:textId="77777777" w:rsidR="005E3455" w:rsidRPr="005E3455" w:rsidRDefault="005E3455" w:rsidP="005E3455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</w:pPr>
            <w:r w:rsidRPr="005E3455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Predecessor to CSRD, focuses on non-financial reporting requirements in the EU</w:t>
            </w:r>
          </w:p>
        </w:tc>
      </w:tr>
    </w:tbl>
    <w:p w14:paraId="55E1C3AD" w14:textId="77777777" w:rsidR="005E3455" w:rsidRPr="005E3455" w:rsidRDefault="005E3455" w:rsidP="005E3455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</w:pP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Key Takeaways:</w:t>
      </w:r>
    </w:p>
    <w:p w14:paraId="511CA93A" w14:textId="77777777" w:rsidR="005E3455" w:rsidRPr="005E3455" w:rsidRDefault="005E3455" w:rsidP="005E3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SASB</w:t>
      </w:r>
      <w:r w:rsidRPr="005E3455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and </w:t>
      </w: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SBTi</w:t>
      </w:r>
      <w:r w:rsidRPr="005E3455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focus on industry-specific guidance and emissions targets, respectively, with emphasis on financial materiality (SASB) and climate science (SBTi).</w:t>
      </w:r>
    </w:p>
    <w:p w14:paraId="5394E6B1" w14:textId="77777777" w:rsidR="005E3455" w:rsidRPr="005E3455" w:rsidRDefault="005E3455" w:rsidP="005E3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CSRD</w:t>
      </w:r>
      <w:r w:rsidRPr="005E3455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introduces mandatory, comprehensive sustainability reporting in the EU, with an emphasis on double materiality.</w:t>
      </w:r>
    </w:p>
    <w:p w14:paraId="1262FF3A" w14:textId="77777777" w:rsidR="005E3455" w:rsidRPr="005E3455" w:rsidRDefault="005E3455" w:rsidP="005E3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GRI</w:t>
      </w:r>
      <w:r w:rsidRPr="005E3455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takes a broader, stakeholder-focused approach, while </w:t>
      </w: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TCFD</w:t>
      </w:r>
      <w:r w:rsidRPr="005E3455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and </w:t>
      </w: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CDP</w:t>
      </w:r>
      <w:r w:rsidRPr="005E3455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emphasize climate-related financial risk and environmental disclosures.</w:t>
      </w:r>
    </w:p>
    <w:p w14:paraId="7AE60F43" w14:textId="77777777" w:rsidR="005E3455" w:rsidRPr="005E3455" w:rsidRDefault="005E3455" w:rsidP="005E34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0"/>
          <w:szCs w:val="20"/>
          <w14:ligatures w14:val="none"/>
        </w:rPr>
      </w:pPr>
      <w:r w:rsidRPr="005E3455">
        <w:rPr>
          <w:rFonts w:ascii="Aptos" w:eastAsia="Times New Roman" w:hAnsi="Aptos" w:cs="Times New Roman"/>
          <w:b/>
          <w:bCs/>
          <w:kern w:val="0"/>
          <w:sz w:val="20"/>
          <w:szCs w:val="20"/>
          <w14:ligatures w14:val="none"/>
        </w:rPr>
        <w:t>ISSB</w:t>
      </w:r>
      <w:r w:rsidRPr="005E3455">
        <w:rPr>
          <w:rFonts w:ascii="Aptos" w:eastAsia="Times New Roman" w:hAnsi="Aptos" w:cs="Times New Roman"/>
          <w:kern w:val="0"/>
          <w:sz w:val="20"/>
          <w:szCs w:val="20"/>
          <w14:ligatures w14:val="none"/>
        </w:rPr>
        <w:t xml:space="preserve"> aims to unify global sustainability standards for consistent and comparable reporting.</w:t>
      </w:r>
    </w:p>
    <w:p w14:paraId="0838AC4B" w14:textId="77777777" w:rsidR="005E3455" w:rsidRPr="005E3455" w:rsidRDefault="005E3455">
      <w:pPr>
        <w:rPr>
          <w:rFonts w:ascii="Aptos" w:hAnsi="Aptos"/>
          <w:sz w:val="20"/>
          <w:szCs w:val="20"/>
        </w:rPr>
      </w:pPr>
    </w:p>
    <w:sectPr w:rsidR="005E3455" w:rsidRPr="005E3455" w:rsidSect="005E34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25271"/>
    <w:multiLevelType w:val="multilevel"/>
    <w:tmpl w:val="210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F6F36"/>
    <w:multiLevelType w:val="multilevel"/>
    <w:tmpl w:val="79C6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939556">
    <w:abstractNumId w:val="1"/>
  </w:num>
  <w:num w:numId="2" w16cid:durableId="77432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55"/>
    <w:rsid w:val="005E3455"/>
    <w:rsid w:val="00B7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F51CB"/>
  <w15:chartTrackingRefBased/>
  <w15:docId w15:val="{C08F321D-6D09-684E-A5CB-878D530D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Shutts</dc:creator>
  <cp:keywords/>
  <dc:description/>
  <cp:lastModifiedBy>Natalie Shutts</cp:lastModifiedBy>
  <cp:revision>1</cp:revision>
  <cp:lastPrinted>2024-10-17T15:14:00Z</cp:lastPrinted>
  <dcterms:created xsi:type="dcterms:W3CDTF">2024-10-17T15:13:00Z</dcterms:created>
  <dcterms:modified xsi:type="dcterms:W3CDTF">2024-10-17T15:14:00Z</dcterms:modified>
</cp:coreProperties>
</file>