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38761d"/>
          <w:sz w:val="48"/>
          <w:szCs w:val="48"/>
          <w:rtl w:val="0"/>
        </w:rPr>
        <w:t xml:space="preserve">За лекциите:</w:t>
        <w:br w:type="textWrapping"/>
      </w:r>
      <w:r w:rsidDel="00000000" w:rsidR="00000000" w:rsidRPr="00000000">
        <w:rPr>
          <w:rFonts w:ascii="Comic Sans MS" w:cs="Comic Sans MS" w:eastAsia="Comic Sans MS" w:hAnsi="Comic Sans MS"/>
          <w:i w:val="1"/>
          <w:color w:val="38761d"/>
          <w:sz w:val="36"/>
          <w:szCs w:val="36"/>
          <w:rtl w:val="0"/>
        </w:rPr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38761d"/>
          <w:sz w:val="36"/>
          <w:szCs w:val="36"/>
          <w:rtl w:val="0"/>
        </w:rPr>
        <w:t xml:space="preserve">Качените презентации са правени от Б.Николова и от нейни колеги</w:t>
        <w:br w:type="textWrapping"/>
        <w:br w:type="textWrapping"/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color w:val="ff0000"/>
          <w:sz w:val="48"/>
          <w:szCs w:val="48"/>
          <w:rtl w:val="0"/>
        </w:rPr>
        <w:t xml:space="preserve">За КСИ:</w:t>
        <w:br w:type="textWrapping"/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36"/>
          <w:szCs w:val="36"/>
          <w:rtl w:val="0"/>
        </w:rPr>
        <w:t xml:space="preserve">-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i w:val="1"/>
          <w:sz w:val="36"/>
          <w:szCs w:val="36"/>
          <w:rtl w:val="0"/>
        </w:rPr>
        <w:t xml:space="preserve">9 поток бяха при Б.Николова</w:t>
        <w:br w:type="textWrapping"/>
        <w:t xml:space="preserve">- 10 поток бяха при Русев</w:t>
        <w:br w:type="textWrapping"/>
        <w:t xml:space="preserve">*май и сега сте така</w:t>
        <w:br w:type="textWrapping"/>
        <w:br w:type="textWrapping"/>
        <w:t xml:space="preserve">- за тези при Б.Николова ще има 2-3 списъка(по спомен), от които можете да вземете 5 точки бонус за изпита</w:t>
        <w:br w:type="textWrapping"/>
        <w:br w:type="textWrapping"/>
        <w:t xml:space="preserve">- тези, които сте при Русев, ако искате си купете учебника, защото ви разрешава да го ползвате на изпита, докато Б.Николова не позволява никакви помощни материали.</w:t>
        <w:br w:type="textWrapping"/>
        <w:t xml:space="preserve">Така беше миналата година, не задължаваме никого да си купува учебника. :)</w:t>
        <w:br w:type="textWrapping"/>
        <w:br w:type="textWrapping"/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