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Качените бланки са за за ФКСУ, ФТК, ФЕТТ, при които се провеждат лабораторните упражнения: 1, 2, 4, 7, 9.</w:t>
      </w:r>
      <w:r w:rsidDel="00000000" w:rsidR="00000000" w:rsidRPr="00000000">
        <w:rPr>
          <w:b w:val="1"/>
          <w:color w:val="539c46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Всички бланки (1 до 11) могат да бъдат свалени от тук:</w:t>
        <w:br w:type="textWrapping"/>
      </w:r>
      <w:hyperlink r:id="rId5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http://oldweb.tu-sofia.bg/index.html</w:t>
        </w:r>
      </w:hyperlink>
      <w:r w:rsidDel="00000000" w:rsidR="00000000" w:rsidRPr="00000000">
        <w:rPr>
          <w:b w:val="1"/>
          <w:color w:val="38761d"/>
          <w:sz w:val="28"/>
          <w:szCs w:val="28"/>
          <w:rtl w:val="0"/>
        </w:rPr>
        <w:br w:type="textWrapping"/>
        <w:t xml:space="preserve">Факултети ---&gt; Факултет Автоматика ---&gt; Катедри ---&gt;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---&gt; най-долу ---&gt; Бланки за протоколи</w:t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oldweb.tu-sofia.bg/index.html" TargetMode="External"/></Relationships>
</file>