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95" w:rsidRPr="00E60651" w:rsidRDefault="00E60651" w:rsidP="002B0795">
      <w:pPr>
        <w:jc w:val="center"/>
        <w:rPr>
          <w:b/>
          <w:sz w:val="44"/>
          <w:szCs w:val="44"/>
          <w:lang w:val="en-US"/>
        </w:rPr>
      </w:pPr>
      <w:bookmarkStart w:id="0" w:name="_Toc214808379"/>
      <w:r>
        <w:rPr>
          <w:b/>
          <w:sz w:val="44"/>
          <w:szCs w:val="44"/>
          <w:lang w:val="en-US"/>
        </w:rPr>
        <w:t xml:space="preserve"> </w:t>
      </w:r>
    </w:p>
    <w:p w:rsidR="002B0795" w:rsidRDefault="002B0795" w:rsidP="002B0795">
      <w:pPr>
        <w:jc w:val="center"/>
        <w:rPr>
          <w:b/>
          <w:sz w:val="44"/>
          <w:szCs w:val="44"/>
          <w:lang w:val="ru-RU"/>
        </w:rPr>
      </w:pPr>
    </w:p>
    <w:p w:rsidR="002B0795" w:rsidRPr="00FA2BA3" w:rsidRDefault="005967F9" w:rsidP="002B0795">
      <w:pPr>
        <w:jc w:val="center"/>
        <w:rPr>
          <w:b/>
          <w:sz w:val="44"/>
          <w:szCs w:val="44"/>
        </w:rPr>
      </w:pPr>
      <w:r w:rsidRPr="00FA2BA3">
        <w:rPr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-457200</wp:posOffset>
            </wp:positionV>
            <wp:extent cx="3581400" cy="3280410"/>
            <wp:effectExtent l="19050" t="0" r="0" b="0"/>
            <wp:wrapNone/>
            <wp:docPr id="2" name="Picture 2" descr="TU 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 zna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795" w:rsidRPr="00FA2BA3">
        <w:rPr>
          <w:b/>
          <w:sz w:val="44"/>
          <w:szCs w:val="44"/>
        </w:rPr>
        <w:t>Технически Университет – София</w:t>
      </w:r>
      <w:bookmarkEnd w:id="0"/>
    </w:p>
    <w:p w:rsidR="002B0795" w:rsidRPr="00FA2BA3" w:rsidRDefault="002B0795" w:rsidP="002B0795">
      <w:pPr>
        <w:jc w:val="center"/>
        <w:rPr>
          <w:b/>
          <w:sz w:val="44"/>
          <w:szCs w:val="44"/>
        </w:rPr>
      </w:pPr>
      <w:r w:rsidRPr="00FA2BA3">
        <w:rPr>
          <w:b/>
          <w:sz w:val="44"/>
          <w:szCs w:val="44"/>
        </w:rPr>
        <w:t>Стопански факултет</w:t>
      </w:r>
    </w:p>
    <w:p w:rsidR="002B0795" w:rsidRPr="005D2E0A" w:rsidRDefault="002B0795" w:rsidP="002B0795">
      <w:pPr>
        <w:jc w:val="center"/>
        <w:rPr>
          <w:b/>
          <w:noProof/>
          <w:spacing w:val="26"/>
          <w:sz w:val="22"/>
          <w:lang w:val="ru-RU"/>
        </w:rPr>
      </w:pPr>
    </w:p>
    <w:p w:rsidR="002B0795" w:rsidRPr="005D2E0A" w:rsidRDefault="002B0795" w:rsidP="002B0795">
      <w:pPr>
        <w:jc w:val="center"/>
        <w:rPr>
          <w:b/>
          <w:noProof/>
          <w:spacing w:val="26"/>
          <w:sz w:val="22"/>
          <w:lang w:val="ru-RU"/>
        </w:rPr>
      </w:pPr>
    </w:p>
    <w:p w:rsidR="002B0795" w:rsidRDefault="002B0795" w:rsidP="002B0795">
      <w:pPr>
        <w:jc w:val="center"/>
        <w:rPr>
          <w:b/>
          <w:noProof/>
          <w:spacing w:val="26"/>
          <w:sz w:val="22"/>
          <w:lang w:val="ru-RU"/>
        </w:rPr>
      </w:pPr>
    </w:p>
    <w:p w:rsidR="002B0795" w:rsidRDefault="002B0795" w:rsidP="002B0795">
      <w:pPr>
        <w:jc w:val="center"/>
        <w:rPr>
          <w:b/>
          <w:noProof/>
          <w:spacing w:val="26"/>
          <w:sz w:val="22"/>
          <w:lang w:val="ru-RU"/>
        </w:rPr>
      </w:pPr>
    </w:p>
    <w:p w:rsidR="002B0795" w:rsidRPr="005D2E0A" w:rsidRDefault="002B0795" w:rsidP="002B0795">
      <w:pPr>
        <w:jc w:val="center"/>
        <w:rPr>
          <w:b/>
          <w:noProof/>
          <w:spacing w:val="26"/>
          <w:sz w:val="22"/>
          <w:lang w:val="ru-RU"/>
        </w:rPr>
      </w:pPr>
    </w:p>
    <w:p w:rsidR="002B0795" w:rsidRPr="009770C5" w:rsidRDefault="002B0795" w:rsidP="002B0795">
      <w:pPr>
        <w:jc w:val="center"/>
        <w:rPr>
          <w:b/>
          <w:sz w:val="56"/>
          <w:szCs w:val="56"/>
        </w:rPr>
      </w:pPr>
      <w:bookmarkStart w:id="1" w:name="_Toc214808380"/>
      <w:r w:rsidRPr="009770C5">
        <w:rPr>
          <w:b/>
          <w:sz w:val="56"/>
          <w:szCs w:val="56"/>
        </w:rPr>
        <w:t>Курсова работа</w:t>
      </w:r>
      <w:bookmarkEnd w:id="1"/>
    </w:p>
    <w:p w:rsidR="002B0795" w:rsidRPr="005D2E0A" w:rsidRDefault="002B0795" w:rsidP="002B0795">
      <w:pPr>
        <w:spacing w:before="240"/>
        <w:jc w:val="center"/>
        <w:rPr>
          <w:b/>
          <w:sz w:val="36"/>
          <w:szCs w:val="36"/>
          <w:lang w:val="ru-RU"/>
        </w:rPr>
      </w:pPr>
      <w:r w:rsidRPr="005D2E0A">
        <w:rPr>
          <w:b/>
          <w:sz w:val="36"/>
          <w:szCs w:val="36"/>
          <w:lang w:val="ru-RU"/>
        </w:rPr>
        <w:t>по</w:t>
      </w:r>
    </w:p>
    <w:p w:rsidR="002B0795" w:rsidRPr="005D2E0A" w:rsidRDefault="002B0795" w:rsidP="002B0795">
      <w:pPr>
        <w:rPr>
          <w:b/>
          <w:lang w:val="ru-RU"/>
        </w:rPr>
      </w:pPr>
    </w:p>
    <w:p w:rsidR="002B0795" w:rsidRPr="005D2E0A" w:rsidRDefault="002B0795" w:rsidP="002B0795">
      <w:pPr>
        <w:jc w:val="center"/>
        <w:rPr>
          <w:b/>
          <w:spacing w:val="26"/>
          <w:sz w:val="52"/>
          <w:szCs w:val="52"/>
          <w:lang w:val="ru-RU"/>
        </w:rPr>
      </w:pPr>
      <w:r>
        <w:rPr>
          <w:b/>
          <w:spacing w:val="26"/>
          <w:sz w:val="52"/>
          <w:szCs w:val="52"/>
        </w:rPr>
        <w:t>Производствени Технологии II</w:t>
      </w:r>
    </w:p>
    <w:p w:rsidR="008D53BC" w:rsidRDefault="008D53BC"/>
    <w:p w:rsidR="002B0795" w:rsidRDefault="002B0795"/>
    <w:p w:rsidR="002B0795" w:rsidRDefault="002B0795"/>
    <w:p w:rsidR="002B0795" w:rsidRPr="002B0795" w:rsidRDefault="002B0795" w:rsidP="002B0795">
      <w:pPr>
        <w:jc w:val="center"/>
      </w:pPr>
      <w:r w:rsidRPr="005D2E0A">
        <w:rPr>
          <w:b/>
          <w:spacing w:val="26"/>
          <w:sz w:val="36"/>
          <w:szCs w:val="36"/>
          <w:u w:val="single"/>
          <w:lang w:val="ru-RU"/>
        </w:rPr>
        <w:t xml:space="preserve">Тема: </w:t>
      </w:r>
      <w:r>
        <w:rPr>
          <w:b/>
          <w:spacing w:val="26"/>
          <w:sz w:val="36"/>
          <w:szCs w:val="36"/>
          <w:u w:val="single"/>
        </w:rPr>
        <w:t xml:space="preserve">Да се направи технологичен анализ на </w:t>
      </w:r>
      <w:r w:rsidR="0062177C">
        <w:rPr>
          <w:b/>
          <w:spacing w:val="26"/>
          <w:sz w:val="36"/>
          <w:szCs w:val="36"/>
          <w:u w:val="single"/>
        </w:rPr>
        <w:t>осветително тяло</w:t>
      </w:r>
    </w:p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Default="002B0795"/>
    <w:p w:rsidR="002B0795" w:rsidRPr="00716BEF" w:rsidRDefault="002B0795" w:rsidP="002B0795">
      <w:pPr>
        <w:rPr>
          <w:b/>
          <w:spacing w:val="26"/>
          <w:lang w:val="ru-RU"/>
        </w:rPr>
      </w:pP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</w:p>
    <w:p w:rsidR="002B0795" w:rsidRPr="00716BEF" w:rsidRDefault="002B0795" w:rsidP="002B0795">
      <w:pPr>
        <w:rPr>
          <w:b/>
          <w:spacing w:val="26"/>
          <w:lang w:val="ru-RU"/>
        </w:rPr>
      </w:pPr>
    </w:p>
    <w:p w:rsidR="002B0795" w:rsidRPr="00716BEF" w:rsidRDefault="002B0795" w:rsidP="002B0795">
      <w:pPr>
        <w:rPr>
          <w:b/>
          <w:spacing w:val="26"/>
          <w:lang w:val="ru-RU"/>
        </w:rPr>
      </w:pP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  <w:r w:rsidRPr="00716BEF">
        <w:rPr>
          <w:b/>
          <w:spacing w:val="26"/>
          <w:lang w:val="ru-RU"/>
        </w:rPr>
        <w:tab/>
      </w:r>
    </w:p>
    <w:p w:rsidR="002B0795" w:rsidRDefault="002B0795" w:rsidP="002B0795">
      <w:pPr>
        <w:spacing w:line="360" w:lineRule="auto"/>
        <w:jc w:val="both"/>
        <w:rPr>
          <w:b/>
          <w:spacing w:val="26"/>
          <w:lang w:val="ru-RU"/>
        </w:rPr>
      </w:pPr>
    </w:p>
    <w:p w:rsidR="008F2964" w:rsidRDefault="008F2964" w:rsidP="002B0795">
      <w:pPr>
        <w:spacing w:line="360" w:lineRule="auto"/>
        <w:jc w:val="both"/>
        <w:rPr>
          <w:b/>
          <w:spacing w:val="26"/>
          <w:lang w:val="ru-RU"/>
        </w:rPr>
      </w:pPr>
    </w:p>
    <w:p w:rsidR="008F2964" w:rsidRDefault="008F2964" w:rsidP="002B0795">
      <w:pPr>
        <w:spacing w:line="360" w:lineRule="auto"/>
        <w:jc w:val="both"/>
        <w:rPr>
          <w:b/>
          <w:spacing w:val="26"/>
          <w:lang w:val="ru-RU"/>
        </w:rPr>
      </w:pPr>
    </w:p>
    <w:p w:rsidR="008F2964" w:rsidRDefault="008F2964" w:rsidP="002B0795">
      <w:pPr>
        <w:spacing w:line="360" w:lineRule="auto"/>
        <w:jc w:val="both"/>
        <w:rPr>
          <w:b/>
          <w:spacing w:val="26"/>
          <w:lang w:val="ru-RU"/>
        </w:rPr>
      </w:pPr>
    </w:p>
    <w:p w:rsidR="008F2964" w:rsidRPr="00716BEF" w:rsidRDefault="008F2964" w:rsidP="002B0795">
      <w:pPr>
        <w:spacing w:line="360" w:lineRule="auto"/>
        <w:jc w:val="both"/>
        <w:rPr>
          <w:b/>
          <w:bCs/>
          <w:i/>
          <w:sz w:val="28"/>
          <w:szCs w:val="28"/>
          <w:u w:val="single"/>
        </w:rPr>
      </w:pPr>
    </w:p>
    <w:p w:rsidR="002B0795" w:rsidRDefault="002B0795"/>
    <w:p w:rsidR="00C90287" w:rsidRDefault="00C90287" w:rsidP="005A090C">
      <w:pPr>
        <w:ind w:left="360"/>
        <w:jc w:val="both"/>
        <w:rPr>
          <w:b/>
          <w:sz w:val="28"/>
          <w:szCs w:val="28"/>
        </w:rPr>
      </w:pPr>
    </w:p>
    <w:p w:rsidR="007607B9" w:rsidRDefault="007607B9" w:rsidP="005A090C">
      <w:pPr>
        <w:ind w:left="360"/>
        <w:jc w:val="both"/>
        <w:rPr>
          <w:b/>
          <w:sz w:val="28"/>
          <w:szCs w:val="28"/>
        </w:rPr>
      </w:pPr>
      <w:r w:rsidRPr="007607B9">
        <w:rPr>
          <w:b/>
          <w:sz w:val="28"/>
          <w:szCs w:val="28"/>
        </w:rPr>
        <w:lastRenderedPageBreak/>
        <w:t xml:space="preserve">ТЕХНОЛОГИЧЕН АНАЛИЗ НА ,,ФАСУНГА – </w:t>
      </w:r>
      <w:r w:rsidR="00330BBB">
        <w:rPr>
          <w:b/>
          <w:sz w:val="28"/>
          <w:szCs w:val="28"/>
        </w:rPr>
        <w:t>ОСВЕТИТЕЛНО ТЯЛО</w:t>
      </w:r>
      <w:r w:rsidRPr="007607B9">
        <w:rPr>
          <w:b/>
          <w:sz w:val="28"/>
          <w:szCs w:val="28"/>
        </w:rPr>
        <w:t>;</w:t>
      </w:r>
    </w:p>
    <w:p w:rsidR="007607B9" w:rsidRPr="007607B9" w:rsidRDefault="007607B9" w:rsidP="005A090C">
      <w:pPr>
        <w:ind w:left="360"/>
        <w:jc w:val="both"/>
        <w:rPr>
          <w:b/>
          <w:sz w:val="28"/>
          <w:szCs w:val="28"/>
        </w:rPr>
      </w:pPr>
    </w:p>
    <w:p w:rsidR="007607B9" w:rsidRPr="005A090C" w:rsidRDefault="007607B9" w:rsidP="005A090C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b/>
        </w:rPr>
      </w:pPr>
      <w:r w:rsidRPr="005A090C">
        <w:rPr>
          <w:rFonts w:ascii="Calibri" w:hAnsi="Calibri" w:cs="Calibri"/>
          <w:b/>
        </w:rPr>
        <w:t>1. Описание.</w:t>
      </w:r>
    </w:p>
    <w:p w:rsidR="007607B9" w:rsidRPr="005A090C" w:rsidRDefault="007607B9" w:rsidP="005A090C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b/>
        </w:rPr>
      </w:pPr>
      <w:r w:rsidRPr="005A090C">
        <w:rPr>
          <w:rFonts w:ascii="Calibri" w:hAnsi="Calibri" w:cs="Calibri"/>
          <w:b/>
        </w:rPr>
        <w:t>1.1. Предназначение.</w:t>
      </w:r>
    </w:p>
    <w:p w:rsidR="007607B9" w:rsidRPr="007D5A90" w:rsidRDefault="007D5A90" w:rsidP="005A090C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Осветителното тяло тип аплик се използва за осветяване на пространства в закрити помещения. Тялото има освен функционални, така и декоративни функции.</w:t>
      </w:r>
    </w:p>
    <w:p w:rsidR="007607B9" w:rsidRPr="005A090C" w:rsidRDefault="007607B9" w:rsidP="005A090C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b/>
        </w:rPr>
      </w:pPr>
      <w:r w:rsidRPr="005A090C">
        <w:rPr>
          <w:rFonts w:ascii="Calibri" w:hAnsi="Calibri" w:cs="Calibri"/>
          <w:b/>
        </w:rPr>
        <w:t>1.2</w:t>
      </w:r>
      <w:r w:rsidR="005A090C">
        <w:rPr>
          <w:rFonts w:ascii="Calibri" w:hAnsi="Calibri" w:cs="Calibri"/>
          <w:b/>
        </w:rPr>
        <w:t>.</w:t>
      </w:r>
      <w:r w:rsidRPr="005A090C">
        <w:rPr>
          <w:rFonts w:ascii="Calibri" w:hAnsi="Calibri" w:cs="Calibri"/>
          <w:b/>
        </w:rPr>
        <w:t xml:space="preserve"> Характеристики на изделието. Описание на конструкцията.</w:t>
      </w:r>
    </w:p>
    <w:p w:rsidR="007607B9" w:rsidRPr="007607B9" w:rsidRDefault="007607B9" w:rsidP="005A090C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Основните технически характеристики на изделието са:</w:t>
      </w:r>
    </w:p>
    <w:p w:rsidR="007607B9" w:rsidRPr="007607B9" w:rsidRDefault="007607B9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Максимално захранващо напрежение: 250V AC ;</w:t>
      </w:r>
    </w:p>
    <w:p w:rsidR="007607B9" w:rsidRPr="007607B9" w:rsidRDefault="007607B9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Максимален комутиран ток 0,5А;</w:t>
      </w:r>
    </w:p>
    <w:p w:rsidR="007607B9" w:rsidRPr="007607B9" w:rsidRDefault="007607B9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Брой на комутираните групи консуматори: 1 бр.;</w:t>
      </w:r>
    </w:p>
    <w:p w:rsidR="007607B9" w:rsidRDefault="007D5A90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Степен на защита: IP</w:t>
      </w:r>
      <w:r w:rsidR="00992B57">
        <w:rPr>
          <w:rFonts w:ascii="Calibri" w:hAnsi="Calibri" w:cs="Calibri"/>
        </w:rPr>
        <w:t>44</w:t>
      </w:r>
      <w:r w:rsidR="007607B9" w:rsidRPr="007607B9">
        <w:rPr>
          <w:rFonts w:ascii="Calibri" w:hAnsi="Calibri" w:cs="Calibri"/>
        </w:rPr>
        <w:t>;</w:t>
      </w:r>
    </w:p>
    <w:p w:rsidR="00992B57" w:rsidRPr="007607B9" w:rsidRDefault="00992B57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Максимална мощност: 40</w:t>
      </w:r>
      <w:r>
        <w:rPr>
          <w:rFonts w:ascii="Calibri" w:hAnsi="Calibri" w:cs="Calibri"/>
          <w:lang w:val="en-US"/>
        </w:rPr>
        <w:t>W;</w:t>
      </w:r>
    </w:p>
    <w:p w:rsidR="007607B9" w:rsidRPr="007607B9" w:rsidRDefault="007D5A90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Вид на инсталацията: закрита</w:t>
      </w:r>
      <w:r w:rsidR="007607B9" w:rsidRPr="007607B9">
        <w:rPr>
          <w:rFonts w:ascii="Calibri" w:hAnsi="Calibri" w:cs="Calibri"/>
        </w:rPr>
        <w:t>;</w:t>
      </w:r>
    </w:p>
    <w:p w:rsidR="007607B9" w:rsidRPr="007607B9" w:rsidRDefault="007607B9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Работно приложение: произволно в пространството</w:t>
      </w:r>
      <w:r w:rsidR="007D5A90">
        <w:rPr>
          <w:rFonts w:ascii="Calibri" w:hAnsi="Calibri" w:cs="Calibri"/>
        </w:rPr>
        <w:t>, но препоръчително във вертикално</w:t>
      </w:r>
      <w:r w:rsidRPr="007607B9">
        <w:rPr>
          <w:rFonts w:ascii="Calibri" w:hAnsi="Calibri" w:cs="Calibri"/>
        </w:rPr>
        <w:t>;</w:t>
      </w:r>
    </w:p>
    <w:p w:rsidR="007607B9" w:rsidRPr="007607B9" w:rsidRDefault="007607B9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Габарити: 95х50х50 mm;</w:t>
      </w:r>
    </w:p>
    <w:p w:rsidR="007607B9" w:rsidRPr="007607B9" w:rsidRDefault="007607B9" w:rsidP="005A090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>Маса: 2</w:t>
      </w:r>
      <w:r w:rsidR="007D5A90">
        <w:rPr>
          <w:rFonts w:ascii="Calibri" w:hAnsi="Calibri" w:cs="Calibri"/>
        </w:rPr>
        <w:t>25</w:t>
      </w:r>
      <w:r w:rsidRPr="007607B9">
        <w:rPr>
          <w:rFonts w:ascii="Calibri" w:hAnsi="Calibri" w:cs="Calibri"/>
        </w:rPr>
        <w:t>g;</w:t>
      </w:r>
    </w:p>
    <w:p w:rsidR="007607B9" w:rsidRPr="00C446E5" w:rsidRDefault="00D93B98" w:rsidP="00F0256A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Осветителното тяло се състои</w:t>
      </w:r>
      <w:r w:rsidR="00F0256A">
        <w:rPr>
          <w:rFonts w:ascii="Calibri" w:hAnsi="Calibri" w:cs="Calibri"/>
        </w:rPr>
        <w:t xml:space="preserve"> от фасунга</w:t>
      </w:r>
      <w:r w:rsidR="00330BBB">
        <w:rPr>
          <w:rFonts w:ascii="Calibri" w:hAnsi="Calibri" w:cs="Calibri"/>
        </w:rPr>
        <w:t>,</w:t>
      </w:r>
      <w:r w:rsidR="00F0256A">
        <w:rPr>
          <w:rFonts w:ascii="Calibri" w:hAnsi="Calibri" w:cs="Calibri"/>
        </w:rPr>
        <w:t xml:space="preserve"> по</w:t>
      </w:r>
      <w:r w:rsidR="00330BBB">
        <w:rPr>
          <w:rFonts w:ascii="Calibri" w:hAnsi="Calibri" w:cs="Calibri"/>
        </w:rPr>
        <w:t>ставена в декоративен корпус при</w:t>
      </w:r>
      <w:r w:rsidR="00F0256A">
        <w:rPr>
          <w:rFonts w:ascii="Calibri" w:hAnsi="Calibri" w:cs="Calibri"/>
        </w:rPr>
        <w:t xml:space="preserve">крепен към овално тяло, което се монтира на стена или друга повърхност. Към </w:t>
      </w:r>
      <w:r w:rsidR="00330BBB">
        <w:rPr>
          <w:rFonts w:ascii="Calibri" w:hAnsi="Calibri" w:cs="Calibri"/>
        </w:rPr>
        <w:t>така съставения корпус се прикре</w:t>
      </w:r>
      <w:r w:rsidR="00F0256A">
        <w:rPr>
          <w:rFonts w:ascii="Calibri" w:hAnsi="Calibri" w:cs="Calibri"/>
        </w:rPr>
        <w:t>пя декоративен аплик от стъкло, посредством две шпилки. Корпуса на осветителното тяло е изолиран от външната среда посредством пластмасов капак от термореактивна пластмаса, който също служи и за монтиране на изделието към стена или друга повърхност.</w:t>
      </w:r>
      <w:r w:rsidR="004979AE">
        <w:rPr>
          <w:rFonts w:ascii="Calibri" w:hAnsi="Calibri" w:cs="Calibri"/>
        </w:rPr>
        <w:t xml:space="preserve"> През пластмасовия защитен капак се изкарват и проводниците, служещи за свързване на осветителното тяло с електрическата инсталация.</w:t>
      </w:r>
      <w:r w:rsidR="00F0256A">
        <w:rPr>
          <w:rFonts w:ascii="Calibri" w:hAnsi="Calibri" w:cs="Calibri"/>
        </w:rPr>
        <w:t xml:space="preserve"> Изделието „осветително тяло” може да бъде видян</w:t>
      </w:r>
      <w:r w:rsidR="0026663B">
        <w:rPr>
          <w:rFonts w:ascii="Calibri" w:hAnsi="Calibri" w:cs="Calibri"/>
        </w:rPr>
        <w:t>о</w:t>
      </w:r>
      <w:r w:rsidR="00F0256A">
        <w:rPr>
          <w:rFonts w:ascii="Calibri" w:hAnsi="Calibri" w:cs="Calibri"/>
        </w:rPr>
        <w:t xml:space="preserve"> на фигура 1.</w:t>
      </w:r>
    </w:p>
    <w:p w:rsidR="00E764E8" w:rsidRDefault="00E764E8" w:rsidP="005A090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E764E8" w:rsidRPr="00E764E8" w:rsidRDefault="00E764E8" w:rsidP="005A090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306CE7" w:rsidRDefault="00D943F9" w:rsidP="00306CE7">
      <w:pPr>
        <w:autoSpaceDE w:val="0"/>
        <w:autoSpaceDN w:val="0"/>
        <w:adjustRightInd w:val="0"/>
        <w:spacing w:after="200" w:line="276" w:lineRule="auto"/>
        <w:ind w:left="-567"/>
        <w:jc w:val="center"/>
        <w:rPr>
          <w:rFonts w:ascii="Calibri" w:hAnsi="Calibri" w:cs="Calibri"/>
          <w:b/>
          <w:noProof/>
          <w:lang w:val="en-US"/>
        </w:rPr>
      </w:pPr>
      <w:r>
        <w:rPr>
          <w:rFonts w:ascii="Calibri" w:hAnsi="Calibri" w:cs="Calibr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9.9pt;margin-top:6.4pt;width:69.75pt;height:21.75pt;z-index:251658752" filled="f" stroked="f">
            <v:textbox>
              <w:txbxContent>
                <w:p w:rsidR="00B47EBE" w:rsidRDefault="00B47EBE"/>
              </w:txbxContent>
            </v:textbox>
          </v:shape>
        </w:pict>
      </w:r>
    </w:p>
    <w:p w:rsidR="00C90287" w:rsidRDefault="00B47EBE" w:rsidP="00C90287">
      <w:bookmarkStart w:id="2" w:name="_GoBack"/>
      <w:r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4743450" cy="355758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2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4" cy="35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C90287" w:rsidRPr="00C90287">
        <w:t xml:space="preserve"> </w:t>
      </w:r>
      <w:r w:rsidR="00C90287">
        <w:t>фиг. 1</w:t>
      </w:r>
    </w:p>
    <w:p w:rsidR="00B47EBE" w:rsidRDefault="00B47EBE" w:rsidP="00306CE7">
      <w:pPr>
        <w:autoSpaceDE w:val="0"/>
        <w:autoSpaceDN w:val="0"/>
        <w:adjustRightInd w:val="0"/>
        <w:spacing w:after="200" w:line="276" w:lineRule="auto"/>
        <w:ind w:left="-567"/>
        <w:jc w:val="center"/>
        <w:rPr>
          <w:rFonts w:ascii="Calibri" w:hAnsi="Calibri" w:cs="Calibri"/>
          <w:b/>
          <w:lang w:val="en-US"/>
        </w:rPr>
      </w:pPr>
    </w:p>
    <w:p w:rsidR="00B47EBE" w:rsidRPr="00B47EBE" w:rsidRDefault="00B47EBE" w:rsidP="00306CE7">
      <w:pPr>
        <w:autoSpaceDE w:val="0"/>
        <w:autoSpaceDN w:val="0"/>
        <w:adjustRightInd w:val="0"/>
        <w:spacing w:after="200" w:line="276" w:lineRule="auto"/>
        <w:ind w:left="-567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760720" cy="485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rsovaа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B9" w:rsidRPr="005A090C" w:rsidRDefault="007607B9" w:rsidP="005A090C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b/>
        </w:rPr>
      </w:pPr>
      <w:r w:rsidRPr="005A090C">
        <w:rPr>
          <w:rFonts w:ascii="Calibri" w:hAnsi="Calibri" w:cs="Calibri"/>
          <w:b/>
        </w:rPr>
        <w:lastRenderedPageBreak/>
        <w:t>1.3</w:t>
      </w:r>
      <w:r w:rsidR="005A090C">
        <w:rPr>
          <w:rFonts w:ascii="Calibri" w:hAnsi="Calibri" w:cs="Calibri"/>
          <w:b/>
        </w:rPr>
        <w:t>.</w:t>
      </w:r>
      <w:r w:rsidRPr="005A090C">
        <w:rPr>
          <w:rFonts w:ascii="Calibri" w:hAnsi="Calibri" w:cs="Calibri"/>
          <w:b/>
        </w:rPr>
        <w:t xml:space="preserve"> </w:t>
      </w:r>
      <w:r w:rsidR="008566FF" w:rsidRPr="005A090C">
        <w:rPr>
          <w:rFonts w:ascii="Calibri" w:hAnsi="Calibri" w:cs="Calibri"/>
          <w:b/>
        </w:rPr>
        <w:t>Особености</w:t>
      </w:r>
      <w:r w:rsidRPr="005A090C">
        <w:rPr>
          <w:rFonts w:ascii="Calibri" w:hAnsi="Calibri" w:cs="Calibri"/>
          <w:b/>
        </w:rPr>
        <w:t xml:space="preserve"> на условия за работа. Монтаж на изделието за работа в реални експлоатационни условия. </w:t>
      </w:r>
    </w:p>
    <w:p w:rsidR="007607B9" w:rsidRDefault="007607B9" w:rsidP="005A090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7607B9">
        <w:rPr>
          <w:rFonts w:ascii="Calibri" w:hAnsi="Calibri" w:cs="Calibri"/>
        </w:rPr>
        <w:tab/>
      </w:r>
      <w:r w:rsidR="006537C4">
        <w:rPr>
          <w:rFonts w:ascii="Calibri" w:hAnsi="Calibri" w:cs="Calibri"/>
        </w:rPr>
        <w:t>Осветителното тяло</w:t>
      </w:r>
      <w:r w:rsidRPr="007607B9">
        <w:rPr>
          <w:rFonts w:ascii="Calibri" w:hAnsi="Calibri" w:cs="Calibri"/>
        </w:rPr>
        <w:t xml:space="preserve"> е предназначен</w:t>
      </w:r>
      <w:r w:rsidR="006537C4">
        <w:rPr>
          <w:rFonts w:ascii="Calibri" w:hAnsi="Calibri" w:cs="Calibri"/>
        </w:rPr>
        <w:t>о</w:t>
      </w:r>
      <w:r w:rsidRPr="007607B9">
        <w:rPr>
          <w:rFonts w:ascii="Calibri" w:hAnsi="Calibri" w:cs="Calibri"/>
        </w:rPr>
        <w:t xml:space="preserve"> за </w:t>
      </w:r>
      <w:r w:rsidR="006537C4">
        <w:rPr>
          <w:rFonts w:ascii="Calibri" w:hAnsi="Calibri" w:cs="Calibri"/>
        </w:rPr>
        <w:t>закрити</w:t>
      </w:r>
      <w:r w:rsidRPr="007607B9">
        <w:rPr>
          <w:rFonts w:ascii="Calibri" w:hAnsi="Calibri" w:cs="Calibri"/>
        </w:rPr>
        <w:t xml:space="preserve"> електрически инсталации, работещи в умерени климатични зони, в закрити помещения с нормална пожароопасност при температура на </w:t>
      </w:r>
      <w:r w:rsidR="008566FF" w:rsidRPr="007607B9">
        <w:rPr>
          <w:rFonts w:ascii="Calibri" w:hAnsi="Calibri" w:cs="Calibri"/>
        </w:rPr>
        <w:t>околната</w:t>
      </w:r>
      <w:r w:rsidRPr="007607B9">
        <w:rPr>
          <w:rFonts w:ascii="Calibri" w:hAnsi="Calibri" w:cs="Calibri"/>
        </w:rPr>
        <w:t xml:space="preserve"> среда от -10 до +40</w:t>
      </w:r>
      <w:r w:rsidRPr="007607B9">
        <w:rPr>
          <w:rFonts w:ascii="Euphemia" w:hAnsi="Euphemia" w:cs="Euphemia"/>
        </w:rPr>
        <w:t>°</w:t>
      </w:r>
      <w:r w:rsidRPr="007607B9">
        <w:rPr>
          <w:rFonts w:ascii="Calibri" w:hAnsi="Calibri" w:cs="Calibri"/>
        </w:rPr>
        <w:t xml:space="preserve">С, максимална относителна влажност на въздуха при 35°С до 80% и отсъствие на лесно запалими и взривоопасни пари и газови примеси във въздуха. </w:t>
      </w:r>
      <w:r w:rsidR="006537C4">
        <w:rPr>
          <w:rFonts w:ascii="Calibri" w:hAnsi="Calibri" w:cs="Calibri"/>
        </w:rPr>
        <w:t>Издели</w:t>
      </w:r>
      <w:r w:rsidR="008F3607">
        <w:rPr>
          <w:rFonts w:ascii="Calibri" w:hAnsi="Calibri" w:cs="Calibri"/>
        </w:rPr>
        <w:t>е</w:t>
      </w:r>
      <w:r w:rsidR="006537C4">
        <w:rPr>
          <w:rFonts w:ascii="Calibri" w:hAnsi="Calibri" w:cs="Calibri"/>
        </w:rPr>
        <w:t>то се монтира за стена или друга повърхност посредством определен вид крепежни елементи.</w:t>
      </w:r>
      <w:r w:rsidRPr="007607B9">
        <w:rPr>
          <w:rFonts w:ascii="Calibri" w:hAnsi="Calibri" w:cs="Calibri"/>
        </w:rPr>
        <w:t xml:space="preserve"> </w:t>
      </w:r>
    </w:p>
    <w:p w:rsidR="005A090C" w:rsidRDefault="005A090C" w:rsidP="005A090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 w:rsidRPr="005A090C">
        <w:rPr>
          <w:rFonts w:ascii="Calibri" w:hAnsi="Calibri" w:cs="Calibri"/>
          <w:b/>
        </w:rPr>
        <w:t>2. Условия в предприятието, в което се произвежда изделието. Оценка на пазара.</w:t>
      </w:r>
    </w:p>
    <w:p w:rsidR="007607B9" w:rsidRDefault="005A090C" w:rsidP="00E764E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  <w:t>2.1. Произвеждани ли са други аналогични изделия в същото предприятие?</w:t>
      </w:r>
    </w:p>
    <w:p w:rsidR="00C90287" w:rsidRPr="0059260E" w:rsidRDefault="004C4DF4" w:rsidP="00C90287">
      <w:pPr>
        <w:rPr>
          <w:rFonts w:asciiTheme="minorHAnsi" w:hAnsiTheme="minorHAnsi" w:cstheme="minorHAnsi"/>
        </w:rPr>
      </w:pPr>
      <w:r>
        <w:rPr>
          <w:rFonts w:ascii="Calibri" w:hAnsi="Calibri" w:cs="Calibri"/>
          <w:b/>
        </w:rPr>
        <w:tab/>
      </w:r>
      <w:r w:rsidR="00C90287" w:rsidRPr="0059260E">
        <w:rPr>
          <w:rFonts w:asciiTheme="minorHAnsi" w:hAnsiTheme="minorHAnsi" w:cstheme="minorHAnsi"/>
        </w:rPr>
        <w:t>Предприятието производител е „Микимак” ЕООД-гр. София. В производствената листа на предприятието са включени широка гама изделия. От групата на осветителните тела се произвеждат такива за вътрешно обзавеждане, екстрериорни осветителни тела, аксесоари и консумативи за осветителни тела</w:t>
      </w:r>
      <w:r w:rsidR="00282322">
        <w:rPr>
          <w:rFonts w:asciiTheme="minorHAnsi" w:hAnsiTheme="minorHAnsi" w:cstheme="minorHAnsi"/>
        </w:rPr>
        <w:t>.</w:t>
      </w:r>
    </w:p>
    <w:p w:rsidR="00C90287" w:rsidRDefault="00C90287" w:rsidP="00C9028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C90287" w:rsidRDefault="00C90287" w:rsidP="00C9028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           </w:t>
      </w:r>
      <w:r w:rsidRPr="00D56212">
        <w:rPr>
          <w:rFonts w:ascii="Calibri" w:hAnsi="Calibri"/>
          <w:b/>
        </w:rPr>
        <w:t>2.2. Оценка на производствената листа на предприятието и на възможностите за използване на взаимствани детайли.</w:t>
      </w:r>
    </w:p>
    <w:p w:rsidR="00C90287" w:rsidRPr="0059260E" w:rsidRDefault="00C90287" w:rsidP="00C90287">
      <w:pPr>
        <w:rPr>
          <w:rFonts w:asciiTheme="minorHAnsi" w:hAnsiTheme="minorHAnsi" w:cstheme="minorHAnsi"/>
        </w:rPr>
      </w:pPr>
      <w:r w:rsidRPr="0059260E">
        <w:rPr>
          <w:rFonts w:asciiTheme="minorHAnsi" w:hAnsiTheme="minorHAnsi" w:cstheme="minorHAnsi"/>
        </w:rPr>
        <w:t>При разработването на производствената листа е използван модулният принцип на конструиране. Това позволява да бъдат използвани част от възли и детайли при производството</w:t>
      </w:r>
      <w:r w:rsidR="00282322">
        <w:rPr>
          <w:rFonts w:asciiTheme="minorHAnsi" w:hAnsiTheme="minorHAnsi" w:cstheme="minorHAnsi"/>
        </w:rPr>
        <w:t xml:space="preserve"> на разглежданото осветително тяло</w:t>
      </w:r>
      <w:r w:rsidRPr="0059260E">
        <w:rPr>
          <w:rFonts w:asciiTheme="minorHAnsi" w:hAnsiTheme="minorHAnsi" w:cstheme="minorHAnsi"/>
        </w:rPr>
        <w:t>.</w:t>
      </w:r>
    </w:p>
    <w:p w:rsidR="00C90287" w:rsidRDefault="00C90287" w:rsidP="00E764E8">
      <w:p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</w:p>
    <w:p w:rsidR="00054E4E" w:rsidRDefault="00C90287" w:rsidP="00E764E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 xml:space="preserve">      </w:t>
      </w:r>
      <w:r w:rsidR="00054E4E" w:rsidRPr="00054E4E">
        <w:rPr>
          <w:rFonts w:ascii="Calibri" w:hAnsi="Calibri"/>
          <w:b/>
        </w:rPr>
        <w:t>2.3. Съпоставка на изделието с аналогични изделия, предлагани на пазара.</w:t>
      </w:r>
    </w:p>
    <w:p w:rsidR="000B7121" w:rsidRDefault="000B7121" w:rsidP="000B7121">
      <w:p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 w:rsidRPr="008D3543">
        <w:rPr>
          <w:rFonts w:asciiTheme="minorHAnsi" w:hAnsiTheme="minorHAnsi" w:cstheme="minorHAnsi"/>
        </w:rPr>
        <w:t>Използването на голям брой взаимствани елементи в разглежданото изделие е предпоставка за високата му експлоатационна надеждност. Съчетанието на тези предимства с техническите му характеристики е предпоставка за търсенето и утвърждаването му на пазара. За основно предимство може да се приеме дизайна на изделието. Предназначено е за използване в помещения с наличие влага. Това покачва себестойността на изделието. Промените в цвета и формата на защитния корпус биха довели до повишаване конкурентноспособността му на пазара .</w:t>
      </w:r>
    </w:p>
    <w:p w:rsidR="008D3543" w:rsidRDefault="008D3543" w:rsidP="00E764E8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/>
          <w:b/>
        </w:rPr>
      </w:pPr>
    </w:p>
    <w:p w:rsidR="00E764E8" w:rsidRDefault="00E764E8" w:rsidP="00E764E8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3. Конструкция</w:t>
      </w:r>
    </w:p>
    <w:p w:rsidR="00E764E8" w:rsidRDefault="00E764E8" w:rsidP="00E764E8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</w:rPr>
      </w:pPr>
      <w:r w:rsidRPr="002A6DD7">
        <w:rPr>
          <w:rFonts w:ascii="Calibri" w:hAnsi="Calibri" w:cs="Calibri"/>
        </w:rPr>
        <w:t>Елементите които изграждат изделието, спецификацията на възлите и детайлите и групирането им като вза</w:t>
      </w:r>
      <w:r w:rsidR="00EB2C30">
        <w:rPr>
          <w:rFonts w:ascii="Calibri" w:hAnsi="Calibri" w:cs="Calibri"/>
        </w:rPr>
        <w:t>и</w:t>
      </w:r>
      <w:r w:rsidRPr="002A6DD7">
        <w:rPr>
          <w:rFonts w:ascii="Calibri" w:hAnsi="Calibri" w:cs="Calibri"/>
        </w:rPr>
        <w:t>мствани, нормализирани, стандартни и оригинални е показана в таблица 1. В колоната „Забележка” се прави групиране на базови детайли и подвъзли и възли от гледна точка на монтажния процес.</w:t>
      </w:r>
    </w:p>
    <w:p w:rsidR="004C4DF4" w:rsidRPr="00351E7E" w:rsidRDefault="004C4DF4" w:rsidP="00351E7E">
      <w:pPr>
        <w:tabs>
          <w:tab w:val="left" w:pos="8325"/>
        </w:tabs>
        <w:autoSpaceDE w:val="0"/>
        <w:autoSpaceDN w:val="0"/>
        <w:adjustRightInd w:val="0"/>
        <w:spacing w:after="200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</w:rPr>
        <w:lastRenderedPageBreak/>
        <w:t xml:space="preserve">                                                                                                                                             </w:t>
      </w:r>
      <w:r w:rsidRPr="00351E7E">
        <w:rPr>
          <w:rFonts w:ascii="Calibri" w:hAnsi="Calibri" w:cs="Calibri"/>
          <w:i/>
        </w:rPr>
        <w:t>Таблица 1.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00"/>
        <w:gridCol w:w="3860"/>
        <w:gridCol w:w="1440"/>
        <w:gridCol w:w="1340"/>
        <w:gridCol w:w="1440"/>
      </w:tblGrid>
      <w:tr w:rsidR="00351E7E" w:rsidRPr="00351E7E" w:rsidTr="00351E7E">
        <w:trPr>
          <w:trHeight w:val="3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351E7E" w:rsidRPr="00351E7E" w:rsidRDefault="00351E7E" w:rsidP="00351E7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№ по ред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Наименование на елем</w:t>
            </w:r>
            <w:r w:rsidR="0074093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е</w:t>
            </w: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нта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Количество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Вид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Забележка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EB2C30" w:rsidP="00351E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Корпус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center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възел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D2163C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Тяло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51E7E" w:rsidRPr="00351E7E" w:rsidRDefault="00D2163C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базов </w:t>
            </w:r>
            <w:r w:rsidR="00EB2C30"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D2163C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Шпилка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D2163C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D2163C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center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D2163C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Капак пластмасов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D2163C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51E7E" w:rsidRPr="00351E7E" w:rsidRDefault="00D2163C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базов </w:t>
            </w:r>
            <w:r w:rsidR="00351E7E"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F008B1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Мост декоративен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center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F008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Резба </w:t>
            </w:r>
            <w:r w:rsidR="00F008B1">
              <w:rPr>
                <w:rFonts w:ascii="Calibri" w:hAnsi="Calibri" w:cs="Calibri"/>
                <w:color w:val="000000"/>
                <w:sz w:val="22"/>
                <w:szCs w:val="22"/>
              </w:rPr>
              <w:t>куха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86173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нормирана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EB2C30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EB2C30" w:rsidRDefault="00F008B1" w:rsidP="00351E7E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Корпус фасунга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E474E7" w:rsidRDefault="00F008B1" w:rsidP="00351E7E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474E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Фасунга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F008B1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нормиран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51E7E" w:rsidRPr="00351E7E" w:rsidRDefault="00F008B1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възел</w:t>
            </w:r>
          </w:p>
        </w:tc>
      </w:tr>
      <w:tr w:rsidR="00E474E7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Default="00E474E7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Корпус керамичен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Pr="00351E7E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стандартен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E474E7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474E7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Default="00E474E7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Пластина месингова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E474E7" w:rsidRPr="00351E7E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стандартен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E474E7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51E7E" w:rsidRPr="00351E7E" w:rsidTr="00351E7E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F008B1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Пластина декоративна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351E7E" w:rsidRPr="00351E7E" w:rsidRDefault="00F008B1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351E7E" w:rsidRPr="00351E7E" w:rsidTr="00C45776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E474E7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F008B1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Стъклен аплик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51E7E" w:rsidRPr="00351E7E" w:rsidRDefault="00F008B1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оригинален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C45776" w:rsidRPr="00351E7E" w:rsidTr="004C5A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C6D9F1" w:themeFill="text2" w:themeFillTint="33"/>
            <w:noWrap/>
            <w:vAlign w:val="bottom"/>
            <w:hideMark/>
          </w:tcPr>
          <w:p w:rsidR="00C45776" w:rsidRDefault="00C45776" w:rsidP="00E474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E474E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C6D9F1" w:themeFill="text2" w:themeFillTint="33"/>
            <w:noWrap/>
            <w:vAlign w:val="bottom"/>
            <w:hideMark/>
          </w:tcPr>
          <w:p w:rsidR="00C45776" w:rsidRPr="00C45776" w:rsidRDefault="00C45776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Уплътнение гумено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C6D9F1" w:themeFill="text2" w:themeFillTint="33"/>
            <w:noWrap/>
            <w:vAlign w:val="bottom"/>
            <w:hideMark/>
          </w:tcPr>
          <w:p w:rsidR="00C45776" w:rsidRPr="00351E7E" w:rsidRDefault="00C45776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C6D9F1" w:themeFill="text2" w:themeFillTint="33"/>
            <w:noWrap/>
            <w:vAlign w:val="bottom"/>
            <w:hideMark/>
          </w:tcPr>
          <w:p w:rsidR="00C45776" w:rsidRDefault="00C45776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нормирано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C6D9F1" w:themeFill="text2" w:themeFillTint="33"/>
            <w:noWrap/>
            <w:vAlign w:val="center"/>
            <w:hideMark/>
          </w:tcPr>
          <w:p w:rsidR="00C45776" w:rsidRPr="00351E7E" w:rsidRDefault="00C45776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  <w:tr w:rsidR="00AE0C69" w:rsidRPr="00351E7E" w:rsidTr="004C5ADD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 w:themeFill="accent1" w:themeFillTint="33"/>
            <w:noWrap/>
            <w:vAlign w:val="bottom"/>
            <w:hideMark/>
          </w:tcPr>
          <w:p w:rsidR="00AE0C69" w:rsidRDefault="00E474E7" w:rsidP="00E474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 w:themeFill="accent1" w:themeFillTint="33"/>
            <w:noWrap/>
            <w:vAlign w:val="bottom"/>
            <w:hideMark/>
          </w:tcPr>
          <w:p w:rsidR="00AE0C69" w:rsidRDefault="00AE0C69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Проводници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 w:themeFill="accent1" w:themeFillTint="33"/>
            <w:noWrap/>
            <w:vAlign w:val="bottom"/>
            <w:hideMark/>
          </w:tcPr>
          <w:p w:rsidR="00AE0C69" w:rsidRDefault="00AE0C69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 w:themeFill="accent1" w:themeFillTint="33"/>
            <w:noWrap/>
            <w:vAlign w:val="bottom"/>
            <w:hideMark/>
          </w:tcPr>
          <w:p w:rsidR="00AE0C69" w:rsidRDefault="00AE0C69" w:rsidP="00E474E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стандарт</w:t>
            </w:r>
            <w:r w:rsidR="00E474E7">
              <w:rPr>
                <w:rFonts w:ascii="Calibri" w:hAnsi="Calibri" w:cs="Calibri"/>
                <w:color w:val="000000"/>
                <w:sz w:val="22"/>
                <w:szCs w:val="22"/>
              </w:rPr>
              <w:t>ен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 w:themeFill="accent1" w:themeFillTint="33"/>
            <w:noWrap/>
            <w:vAlign w:val="center"/>
            <w:hideMark/>
          </w:tcPr>
          <w:p w:rsidR="00AE0C69" w:rsidRDefault="00AE0C69" w:rsidP="0035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детайл</w:t>
            </w:r>
          </w:p>
        </w:tc>
      </w:tr>
    </w:tbl>
    <w:p w:rsidR="004C4DF4" w:rsidRDefault="004C4DF4" w:rsidP="00E764E8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</w:rPr>
      </w:pPr>
    </w:p>
    <w:p w:rsidR="002A6DD7" w:rsidRPr="002A6DD7" w:rsidRDefault="002A6DD7" w:rsidP="002A6DD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77D32">
        <w:rPr>
          <w:rFonts w:ascii="Calibri" w:hAnsi="Calibri" w:cs="Calibri"/>
        </w:rPr>
        <w:tab/>
      </w:r>
      <w:r>
        <w:rPr>
          <w:rFonts w:ascii="Calibri" w:hAnsi="Calibri" w:cs="Calibri"/>
        </w:rPr>
        <w:t>Общ брой на детайлите в изделието:</w:t>
      </w:r>
      <w:r w:rsidRP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  <w:i/>
          <w:lang w:val="en-US"/>
        </w:rPr>
        <w:t>N</w:t>
      </w:r>
      <w:r w:rsid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</w:rPr>
        <w:t>=</w:t>
      </w:r>
      <w:r w:rsidR="004C4DF4">
        <w:rPr>
          <w:rFonts w:ascii="Calibri" w:hAnsi="Calibri" w:cs="Calibri"/>
        </w:rPr>
        <w:t xml:space="preserve"> </w:t>
      </w:r>
      <w:r w:rsidR="00A96EC1">
        <w:rPr>
          <w:rFonts w:ascii="Calibri" w:hAnsi="Calibri" w:cs="Calibri"/>
        </w:rPr>
        <w:t>1</w:t>
      </w:r>
      <w:r w:rsidR="00E474E7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бр.</w:t>
      </w:r>
    </w:p>
    <w:p w:rsidR="002A6DD7" w:rsidRDefault="002A6DD7" w:rsidP="00877D32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От тях:</w:t>
      </w:r>
    </w:p>
    <w:p w:rsidR="002A6DD7" w:rsidRPr="004C4DF4" w:rsidRDefault="002A6DD7" w:rsidP="00877D32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4C4D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стандартни: </w:t>
      </w:r>
      <w:r w:rsidR="004C4DF4" w:rsidRPr="004C4DF4">
        <w:rPr>
          <w:rFonts w:ascii="Calibri" w:hAnsi="Calibri" w:cs="Calibri"/>
          <w:i/>
          <w:lang w:val="en-US"/>
        </w:rPr>
        <w:t>N</w:t>
      </w:r>
      <w:r w:rsidR="004C4DF4" w:rsidRPr="004C4DF4">
        <w:rPr>
          <w:rFonts w:ascii="Calibri" w:hAnsi="Calibri" w:cs="Calibri"/>
          <w:i/>
          <w:vertAlign w:val="subscript"/>
        </w:rPr>
        <w:t>с</w:t>
      </w:r>
      <w:r w:rsid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</w:rPr>
        <w:t>=</w:t>
      </w:r>
      <w:r w:rsidR="004C4DF4">
        <w:rPr>
          <w:rFonts w:ascii="Calibri" w:hAnsi="Calibri" w:cs="Calibri"/>
        </w:rPr>
        <w:t xml:space="preserve"> </w:t>
      </w:r>
      <w:r w:rsidR="00E474E7">
        <w:rPr>
          <w:rFonts w:ascii="Calibri" w:hAnsi="Calibri" w:cs="Calibri"/>
        </w:rPr>
        <w:t>8</w:t>
      </w:r>
      <w:r w:rsidR="00A96EC1">
        <w:rPr>
          <w:rFonts w:ascii="Calibri" w:hAnsi="Calibri" w:cs="Calibri"/>
        </w:rPr>
        <w:t xml:space="preserve"> </w:t>
      </w:r>
      <w:r w:rsidR="004C4DF4">
        <w:rPr>
          <w:rFonts w:ascii="Calibri" w:hAnsi="Calibri" w:cs="Calibri"/>
        </w:rPr>
        <w:t>бр.</w:t>
      </w:r>
    </w:p>
    <w:p w:rsidR="002A6DD7" w:rsidRPr="004C4DF4" w:rsidRDefault="002A6DD7" w:rsidP="00877D32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4C4D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нормализирани:</w:t>
      </w:r>
      <w:r w:rsidRP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  <w:i/>
          <w:lang w:val="en-US"/>
        </w:rPr>
        <w:t>N</w:t>
      </w:r>
      <w:r w:rsidRPr="004C4DF4">
        <w:rPr>
          <w:rFonts w:ascii="Calibri" w:hAnsi="Calibri" w:cs="Calibri"/>
          <w:i/>
          <w:vertAlign w:val="subscript"/>
        </w:rPr>
        <w:t>н</w:t>
      </w:r>
      <w:r w:rsid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</w:rPr>
        <w:t>=</w:t>
      </w:r>
      <w:r w:rsidR="004C4DF4">
        <w:rPr>
          <w:rFonts w:ascii="Calibri" w:hAnsi="Calibri" w:cs="Calibri"/>
        </w:rPr>
        <w:t xml:space="preserve"> </w:t>
      </w:r>
      <w:r w:rsidR="00C45776">
        <w:rPr>
          <w:rFonts w:ascii="Calibri" w:hAnsi="Calibri" w:cs="Calibri"/>
        </w:rPr>
        <w:t>3</w:t>
      </w:r>
      <w:r w:rsidR="004C4DF4">
        <w:rPr>
          <w:rFonts w:ascii="Calibri" w:hAnsi="Calibri" w:cs="Calibri"/>
        </w:rPr>
        <w:t xml:space="preserve"> бр.</w:t>
      </w:r>
    </w:p>
    <w:p w:rsidR="000C7A44" w:rsidRDefault="002A6DD7" w:rsidP="000C7A44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4C4D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оригинални:</w:t>
      </w:r>
      <w:r w:rsidRP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  <w:i/>
          <w:lang w:val="en-US"/>
        </w:rPr>
        <w:t>N</w:t>
      </w:r>
      <w:r w:rsidR="004C4DF4" w:rsidRPr="004C4DF4">
        <w:rPr>
          <w:rFonts w:ascii="Calibri" w:hAnsi="Calibri" w:cs="Calibri"/>
          <w:i/>
          <w:vertAlign w:val="subscript"/>
        </w:rPr>
        <w:t>о</w:t>
      </w:r>
      <w:r w:rsidR="004C4DF4">
        <w:rPr>
          <w:rFonts w:ascii="Calibri" w:hAnsi="Calibri" w:cs="Calibri"/>
        </w:rPr>
        <w:t xml:space="preserve"> </w:t>
      </w:r>
      <w:r w:rsidRPr="004C4DF4">
        <w:rPr>
          <w:rFonts w:ascii="Calibri" w:hAnsi="Calibri" w:cs="Calibri"/>
        </w:rPr>
        <w:t>=</w:t>
      </w:r>
      <w:r w:rsidR="004C4DF4">
        <w:rPr>
          <w:rFonts w:ascii="Calibri" w:hAnsi="Calibri" w:cs="Calibri"/>
        </w:rPr>
        <w:t xml:space="preserve"> </w:t>
      </w:r>
      <w:r w:rsidR="00861737">
        <w:rPr>
          <w:rFonts w:ascii="Calibri" w:hAnsi="Calibri" w:cs="Calibri"/>
        </w:rPr>
        <w:t>8</w:t>
      </w:r>
      <w:r w:rsidR="004C4DF4">
        <w:rPr>
          <w:rFonts w:ascii="Calibri" w:hAnsi="Calibri" w:cs="Calibri"/>
        </w:rPr>
        <w:t xml:space="preserve"> бр.</w:t>
      </w:r>
    </w:p>
    <w:p w:rsidR="000C3F97" w:rsidRDefault="000C3F97" w:rsidP="000C7A44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Calibri" w:hAnsi="Calibri" w:cs="Calibri"/>
        </w:rPr>
      </w:pPr>
    </w:p>
    <w:p w:rsidR="000C3F97" w:rsidRDefault="000C3F97" w:rsidP="000C7A44">
      <w:pPr>
        <w:autoSpaceDE w:val="0"/>
        <w:autoSpaceDN w:val="0"/>
        <w:adjustRightInd w:val="0"/>
        <w:spacing w:after="200" w:line="276" w:lineRule="auto"/>
        <w:ind w:left="708" w:firstLine="708"/>
        <w:jc w:val="both"/>
        <w:rPr>
          <w:rFonts w:ascii="Calibri" w:hAnsi="Calibri" w:cs="Calibri"/>
        </w:rPr>
      </w:pPr>
    </w:p>
    <w:p w:rsidR="00877D32" w:rsidRPr="00877D32" w:rsidRDefault="00877D32" w:rsidP="000C7A44">
      <w:pPr>
        <w:autoSpaceDE w:val="0"/>
        <w:autoSpaceDN w:val="0"/>
        <w:adjustRightInd w:val="0"/>
        <w:spacing w:after="200" w:line="276" w:lineRule="auto"/>
        <w:ind w:firstLine="709"/>
        <w:jc w:val="both"/>
        <w:rPr>
          <w:rFonts w:ascii="Calibri" w:hAnsi="Calibri" w:cs="Calibri"/>
          <w:b/>
        </w:rPr>
      </w:pPr>
      <w:r w:rsidRPr="00877D32">
        <w:rPr>
          <w:rFonts w:ascii="Calibri" w:hAnsi="Calibri" w:cs="Calibri"/>
          <w:b/>
        </w:rPr>
        <w:t>4. Обща оценка на използваните технологии и съоръжения, за производството на отделните детайли.</w:t>
      </w:r>
    </w:p>
    <w:p w:rsidR="00FF625C" w:rsidRDefault="008566FF" w:rsidP="002A6DD7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 xml:space="preserve">Разглежданото изделия – </w:t>
      </w:r>
      <w:r w:rsidR="000C3F97">
        <w:rPr>
          <w:rFonts w:ascii="Calibri" w:hAnsi="Calibri" w:cs="Calibri"/>
        </w:rPr>
        <w:t>осветително тяло,</w:t>
      </w:r>
      <w:r w:rsidR="00903FAF">
        <w:rPr>
          <w:rFonts w:ascii="Calibri" w:hAnsi="Calibri" w:cs="Calibri"/>
        </w:rPr>
        <w:t xml:space="preserve"> се произвежда в серийно производство, което се характеризира със следните най-важни особености:</w:t>
      </w:r>
    </w:p>
    <w:p w:rsidR="00903FAF" w:rsidRPr="00903FAF" w:rsidRDefault="00903FAF" w:rsidP="000C7A44">
      <w:pPr>
        <w:autoSpaceDE w:val="0"/>
        <w:autoSpaceDN w:val="0"/>
        <w:adjustRightInd w:val="0"/>
        <w:spacing w:after="20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ab/>
        <w:t>-използване на универсални и специализирани съоръжения и инструменти</w:t>
      </w:r>
      <w:r>
        <w:rPr>
          <w:rFonts w:ascii="Calibri" w:hAnsi="Calibri" w:cs="Calibri"/>
          <w:lang w:val="en-US"/>
        </w:rPr>
        <w:t>;</w:t>
      </w:r>
    </w:p>
    <w:p w:rsidR="00903FAF" w:rsidRPr="00903FAF" w:rsidRDefault="00903FAF" w:rsidP="000C7A44">
      <w:pPr>
        <w:autoSpaceDE w:val="0"/>
        <w:autoSpaceDN w:val="0"/>
        <w:adjustRightInd w:val="0"/>
        <w:spacing w:after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-използване на полуавтоматични и автоматични линии</w:t>
      </w:r>
      <w:r>
        <w:rPr>
          <w:rFonts w:ascii="Calibri" w:hAnsi="Calibri" w:cs="Calibri"/>
          <w:lang w:val="en-US"/>
        </w:rPr>
        <w:t>;</w:t>
      </w:r>
    </w:p>
    <w:p w:rsidR="00903FAF" w:rsidRDefault="00903FAF" w:rsidP="000C7A44">
      <w:pPr>
        <w:autoSpaceDE w:val="0"/>
        <w:autoSpaceDN w:val="0"/>
        <w:adjustRightInd w:val="0"/>
        <w:spacing w:after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-голяма продължителност на подготовката за производство</w:t>
      </w:r>
      <w:r>
        <w:rPr>
          <w:rFonts w:ascii="Calibri" w:hAnsi="Calibri" w:cs="Calibri"/>
          <w:lang w:val="en-US"/>
        </w:rPr>
        <w:t>;</w:t>
      </w:r>
    </w:p>
    <w:p w:rsidR="00903FAF" w:rsidRDefault="00903FAF" w:rsidP="000C7A44">
      <w:pPr>
        <w:autoSpaceDE w:val="0"/>
        <w:autoSpaceDN w:val="0"/>
        <w:adjustRightInd w:val="0"/>
        <w:spacing w:after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-малка продължителност на производствения цикъл;</w:t>
      </w:r>
    </w:p>
    <w:p w:rsidR="00903FAF" w:rsidRDefault="00903FAF" w:rsidP="000C7A44">
      <w:pPr>
        <w:autoSpaceDE w:val="0"/>
        <w:autoSpaceDN w:val="0"/>
        <w:adjustRightInd w:val="0"/>
        <w:spacing w:after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-средна квалификация на основните работници</w:t>
      </w:r>
      <w:r>
        <w:rPr>
          <w:rFonts w:ascii="Calibri" w:hAnsi="Calibri" w:cs="Calibri"/>
          <w:lang w:val="en-US"/>
        </w:rPr>
        <w:t>;</w:t>
      </w:r>
    </w:p>
    <w:p w:rsidR="00903FAF" w:rsidRDefault="00903FAF" w:rsidP="000C7A44">
      <w:pPr>
        <w:autoSpaceDE w:val="0"/>
        <w:autoSpaceDN w:val="0"/>
        <w:adjustRightInd w:val="0"/>
        <w:spacing w:after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-ниска себестойност на произвежданото изделие</w:t>
      </w:r>
      <w:r>
        <w:rPr>
          <w:rFonts w:ascii="Calibri" w:hAnsi="Calibri" w:cs="Calibri"/>
          <w:lang w:val="en-US"/>
        </w:rPr>
        <w:t>;</w:t>
      </w:r>
    </w:p>
    <w:p w:rsidR="00723038" w:rsidRDefault="00723038" w:rsidP="00723038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4.1 Групиране на детайлите по вид на основните технологични процеси на изработка – щанц</w:t>
      </w:r>
      <w:r w:rsidR="004561AA">
        <w:rPr>
          <w:rFonts w:ascii="Calibri" w:hAnsi="Calibri" w:cs="Calibri"/>
          <w:b/>
        </w:rPr>
        <w:t>у</w:t>
      </w:r>
      <w:r>
        <w:rPr>
          <w:rFonts w:ascii="Calibri" w:hAnsi="Calibri" w:cs="Calibri"/>
          <w:b/>
        </w:rPr>
        <w:t xml:space="preserve">ване, шприцоване, пресуване, стружкоотнемане, други специализирани технологии. Оценка на възможностите за използване на алтернативни процеси. Преценка на свързаните с производството и експлоатацията конструктивни и технологични проблеми, охрана на трудна, пожароопасност, възможностите за рециклиране материали от отпадъците, както при производствения процес, така и на цялото изделие след извеждането му от експлоатация. </w:t>
      </w:r>
    </w:p>
    <w:p w:rsidR="00723038" w:rsidRDefault="00723038" w:rsidP="00723038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зависимост от основните технологични процеси за изработка, детайлите (без закупените, вкл. стандартните и нормализираните) се групират на базата на съответните изходни материали за тяхното получаване. Това е показано в Таблица 2.</w:t>
      </w:r>
    </w:p>
    <w:p w:rsidR="00351E7E" w:rsidRPr="00351E7E" w:rsidRDefault="00351E7E" w:rsidP="00351E7E">
      <w:pPr>
        <w:autoSpaceDE w:val="0"/>
        <w:autoSpaceDN w:val="0"/>
        <w:adjustRightInd w:val="0"/>
        <w:spacing w:after="200"/>
        <w:ind w:firstLine="708"/>
        <w:jc w:val="right"/>
        <w:rPr>
          <w:rFonts w:ascii="Calibri" w:hAnsi="Calibri" w:cs="Calibri"/>
          <w:i/>
        </w:rPr>
      </w:pPr>
      <w:r w:rsidRPr="00351E7E">
        <w:rPr>
          <w:rFonts w:ascii="Calibri" w:hAnsi="Calibri" w:cs="Calibri"/>
          <w:i/>
        </w:rPr>
        <w:t>Таблица 2.</w:t>
      </w:r>
    </w:p>
    <w:tbl>
      <w:tblPr>
        <w:tblW w:w="93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00"/>
        <w:gridCol w:w="2160"/>
        <w:gridCol w:w="2420"/>
        <w:gridCol w:w="2620"/>
      </w:tblGrid>
      <w:tr w:rsidR="00351E7E" w:rsidRPr="00351E7E" w:rsidTr="00351E7E">
        <w:trPr>
          <w:trHeight w:val="780"/>
        </w:trPr>
        <w:tc>
          <w:tcPr>
            <w:tcW w:w="21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Детайл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Изходен материал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Основен технологичен процес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:rsidR="00351E7E" w:rsidRPr="00351E7E" w:rsidRDefault="00351E7E" w:rsidP="00351E7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51E7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Алтернативно решение</w:t>
            </w:r>
          </w:p>
        </w:tc>
      </w:tr>
      <w:tr w:rsidR="00351E7E" w:rsidRPr="00351E7E" w:rsidTr="00351E7E">
        <w:trPr>
          <w:trHeight w:val="690"/>
        </w:trPr>
        <w:tc>
          <w:tcPr>
            <w:tcW w:w="2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Тяло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Стомана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Дълбоко изтегляне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hideMark/>
          </w:tcPr>
          <w:p w:rsidR="00351E7E" w:rsidRPr="00351E7E" w:rsidRDefault="00351E7E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Промяна дизайн и цвят</w:t>
            </w:r>
          </w:p>
        </w:tc>
      </w:tr>
      <w:tr w:rsidR="00351E7E" w:rsidRPr="00351E7E" w:rsidTr="00351E7E">
        <w:trPr>
          <w:trHeight w:val="570"/>
        </w:trPr>
        <w:tc>
          <w:tcPr>
            <w:tcW w:w="2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Капак пластмасов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Термореактивна пластмаса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351E7E" w:rsidRPr="00351E7E" w:rsidRDefault="00CE38C0" w:rsidP="00B9723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Горещ</w:t>
            </w:r>
            <w:r w:rsidR="00B9723A"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пресоване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hideMark/>
          </w:tcPr>
          <w:p w:rsidR="00351E7E" w:rsidRPr="00351E7E" w:rsidRDefault="00351E7E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51E7E" w:rsidRPr="00351E7E" w:rsidTr="00351E7E">
        <w:trPr>
          <w:trHeight w:val="555"/>
        </w:trPr>
        <w:tc>
          <w:tcPr>
            <w:tcW w:w="2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Шпилка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Стомана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hideMark/>
          </w:tcPr>
          <w:p w:rsidR="00351E7E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Стружкоотнемане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hideMark/>
          </w:tcPr>
          <w:p w:rsidR="00351E7E" w:rsidRPr="00351E7E" w:rsidRDefault="00351E7E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38C0" w:rsidRPr="00351E7E" w:rsidTr="00351E7E">
        <w:trPr>
          <w:trHeight w:val="555"/>
        </w:trPr>
        <w:tc>
          <w:tcPr>
            <w:tcW w:w="2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Корпус фасунга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Алуминии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Отливане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hideMark/>
          </w:tcPr>
          <w:p w:rsidR="00CE38C0" w:rsidRPr="00351E7E" w:rsidRDefault="00CE38C0" w:rsidP="003226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Промяна дизайн и цвят</w:t>
            </w:r>
          </w:p>
        </w:tc>
      </w:tr>
      <w:tr w:rsidR="00CE38C0" w:rsidRPr="00351E7E" w:rsidTr="00351E7E">
        <w:trPr>
          <w:trHeight w:val="960"/>
        </w:trPr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Пластина декоративна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Стомана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Щанцуване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hideMark/>
          </w:tcPr>
          <w:p w:rsidR="00CE38C0" w:rsidRPr="00351E7E" w:rsidRDefault="00CE38C0" w:rsidP="0035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51E7E">
              <w:rPr>
                <w:rFonts w:ascii="Calibri" w:hAnsi="Calibri" w:cs="Calibri"/>
                <w:color w:val="000000"/>
                <w:sz w:val="22"/>
                <w:szCs w:val="22"/>
              </w:rPr>
              <w:t>Промяна дизайн и цвят</w:t>
            </w:r>
          </w:p>
        </w:tc>
      </w:tr>
    </w:tbl>
    <w:p w:rsidR="00903FAF" w:rsidRDefault="007C7239" w:rsidP="0045009B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Част от използваните технологични процеси (</w:t>
      </w:r>
      <w:r w:rsidR="006736A0">
        <w:rPr>
          <w:rFonts w:ascii="Calibri" w:hAnsi="Calibri" w:cs="Calibri"/>
        </w:rPr>
        <w:t>отливане и горещо пресоване</w:t>
      </w:r>
      <w:r>
        <w:rPr>
          <w:rFonts w:ascii="Calibri" w:hAnsi="Calibri" w:cs="Calibri"/>
        </w:rPr>
        <w:t>) са свързани с високи температури (</w:t>
      </w:r>
      <w:r w:rsidR="006736A0">
        <w:rPr>
          <w:rFonts w:ascii="Calibri" w:hAnsi="Calibri" w:cs="Calibri"/>
        </w:rPr>
        <w:t>800</w:t>
      </w:r>
      <w:r>
        <w:rPr>
          <w:rFonts w:ascii="Calibri" w:hAnsi="Calibri" w:cs="Calibri"/>
        </w:rPr>
        <w:t xml:space="preserve">°С – </w:t>
      </w:r>
      <w:r w:rsidR="006736A0">
        <w:rPr>
          <w:rFonts w:ascii="Calibri" w:hAnsi="Calibri" w:cs="Calibri"/>
        </w:rPr>
        <w:t>1</w:t>
      </w:r>
      <w:r>
        <w:rPr>
          <w:rFonts w:ascii="Calibri" w:hAnsi="Calibri" w:cs="Calibri"/>
        </w:rPr>
        <w:t>300°С) и високо налягане (150 – 800 МРа). Това налага строгото спазване на изискванията по техника на безопасността и противопожарните норми, използването на съответните лични, предпазни средства като очила, ръкавици, антифони и други. Специфични изисквани за безопасност са предписани и при щанцуването</w:t>
      </w:r>
      <w:r w:rsidR="00093B69">
        <w:rPr>
          <w:rFonts w:ascii="Calibri" w:hAnsi="Calibri" w:cs="Calibri"/>
        </w:rPr>
        <w:t>, дълбоко изтегляне</w:t>
      </w:r>
      <w:r>
        <w:rPr>
          <w:rFonts w:ascii="Calibri" w:hAnsi="Calibri" w:cs="Calibri"/>
        </w:rPr>
        <w:t xml:space="preserve"> и </w:t>
      </w:r>
      <w:r w:rsidR="00093B69">
        <w:rPr>
          <w:rFonts w:ascii="Calibri" w:hAnsi="Calibri" w:cs="Calibri"/>
        </w:rPr>
        <w:t>стружкоотнемане</w:t>
      </w:r>
      <w:r>
        <w:rPr>
          <w:rFonts w:ascii="Calibri" w:hAnsi="Calibri" w:cs="Calibri"/>
        </w:rPr>
        <w:t xml:space="preserve">.  </w:t>
      </w:r>
    </w:p>
    <w:p w:rsidR="007C0B54" w:rsidRPr="00877D32" w:rsidRDefault="007C0B54" w:rsidP="007C0B54">
      <w:pPr>
        <w:autoSpaceDE w:val="0"/>
        <w:autoSpaceDN w:val="0"/>
        <w:adjustRightInd w:val="0"/>
        <w:spacing w:after="200" w:line="276" w:lineRule="auto"/>
        <w:ind w:firstLine="709"/>
        <w:jc w:val="both"/>
        <w:rPr>
          <w:rFonts w:ascii="Calibri" w:hAnsi="Calibri" w:cs="Calibri"/>
          <w:b/>
        </w:rPr>
      </w:pPr>
      <w:r w:rsidRPr="00877D32">
        <w:rPr>
          <w:rFonts w:ascii="Calibri" w:hAnsi="Calibri" w:cs="Calibri"/>
          <w:b/>
        </w:rPr>
        <w:t>4.</w:t>
      </w:r>
      <w:r>
        <w:rPr>
          <w:rFonts w:ascii="Calibri" w:hAnsi="Calibri" w:cs="Calibri"/>
          <w:b/>
        </w:rPr>
        <w:t>2</w:t>
      </w:r>
      <w:r w:rsidRPr="00877D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Монтаж – анализ на технологиите на сглобяване. Технологична схема на монтажа. Контролни операции.</w:t>
      </w:r>
    </w:p>
    <w:p w:rsidR="00C446E5" w:rsidRDefault="00C446E5" w:rsidP="007C0B54">
      <w:p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lang w:val="en-US"/>
        </w:rPr>
        <w:tab/>
      </w:r>
      <w:r w:rsidRPr="00C446E5">
        <w:rPr>
          <w:rFonts w:asciiTheme="minorHAnsi" w:hAnsiTheme="minorHAnsi" w:cstheme="minorHAnsi"/>
        </w:rPr>
        <w:t xml:space="preserve">Серийното производство на изделието изисква използването на специализирани работни места, по възможност автоматизиране на процесите по сглобяване. След определени монтажни операции е необходимо да се извършават контролни операции, за проверка годността на междинните елементи, възли, блокове и други.  </w:t>
      </w:r>
      <w:r>
        <w:rPr>
          <w:rFonts w:asciiTheme="minorHAnsi" w:hAnsiTheme="minorHAnsi" w:cstheme="minorHAnsi"/>
        </w:rPr>
        <w:t xml:space="preserve">Основните монтажни операции по сглобяване на </w:t>
      </w:r>
      <w:r w:rsidR="00C14D79">
        <w:rPr>
          <w:rFonts w:asciiTheme="minorHAnsi" w:hAnsiTheme="minorHAnsi" w:cstheme="minorHAnsi"/>
        </w:rPr>
        <w:t>осветителното тяло</w:t>
      </w:r>
      <w:r>
        <w:rPr>
          <w:rFonts w:asciiTheme="minorHAnsi" w:hAnsiTheme="minorHAnsi" w:cstheme="minorHAnsi"/>
        </w:rPr>
        <w:t xml:space="preserve"> са </w:t>
      </w:r>
      <w:r>
        <w:rPr>
          <w:rFonts w:asciiTheme="minorHAnsi" w:hAnsiTheme="minorHAnsi" w:cstheme="minorHAnsi"/>
        </w:rPr>
        <w:lastRenderedPageBreak/>
        <w:t xml:space="preserve">свързани със </w:t>
      </w:r>
      <w:r w:rsidR="00C14D79">
        <w:rPr>
          <w:rFonts w:asciiTheme="minorHAnsi" w:hAnsiTheme="minorHAnsi" w:cstheme="minorHAnsi"/>
        </w:rPr>
        <w:t>завиване</w:t>
      </w:r>
      <w:r>
        <w:rPr>
          <w:rFonts w:asciiTheme="minorHAnsi" w:hAnsiTheme="minorHAnsi" w:cstheme="minorHAnsi"/>
        </w:rPr>
        <w:t xml:space="preserve"> и поставяне на отделните детайли в съответните им места. Технологична схема на монтажа е показана на фигура</w:t>
      </w:r>
      <w:r w:rsidR="00FD2CA1">
        <w:rPr>
          <w:rFonts w:asciiTheme="minorHAnsi" w:hAnsiTheme="minorHAnsi" w:cstheme="minorHAnsi"/>
        </w:rPr>
        <w:t xml:space="preserve"> 2. Означенията на сглобяваните елементи са спрямо таблица 1. Съответните монтажни операции са, както следва:</w:t>
      </w:r>
    </w:p>
    <w:p w:rsidR="00FD2CA1" w:rsidRDefault="00FD2CA1" w:rsidP="00FD2CA1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М1 – </w:t>
      </w:r>
      <w:r w:rsidR="00E80D95">
        <w:rPr>
          <w:rFonts w:asciiTheme="minorHAnsi" w:hAnsiTheme="minorHAnsi" w:cstheme="minorHAnsi"/>
        </w:rPr>
        <w:t>Сглобяване на фасунгата</w:t>
      </w:r>
      <w:r>
        <w:rPr>
          <w:rFonts w:asciiTheme="minorHAnsi" w:hAnsiTheme="minorHAnsi" w:cstheme="minorHAnsi"/>
        </w:rPr>
        <w:t>.</w:t>
      </w:r>
    </w:p>
    <w:p w:rsidR="00FD2CA1" w:rsidRDefault="00FD2CA1" w:rsidP="00FD2CA1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М2 – </w:t>
      </w:r>
      <w:r w:rsidR="00E80D95">
        <w:rPr>
          <w:rFonts w:asciiTheme="minorHAnsi" w:hAnsiTheme="minorHAnsi" w:cstheme="minorHAnsi"/>
        </w:rPr>
        <w:t>Поставяне на фасунгата в корпуса.</w:t>
      </w:r>
    </w:p>
    <w:p w:rsidR="00FD2CA1" w:rsidRDefault="00FD2CA1" w:rsidP="00FD2CA1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М3 – </w:t>
      </w:r>
      <w:r w:rsidR="00E80D95">
        <w:rPr>
          <w:rFonts w:asciiTheme="minorHAnsi" w:hAnsiTheme="minorHAnsi" w:cstheme="minorHAnsi"/>
        </w:rPr>
        <w:t>Сглобяване на фасунгата към тялото посредством декоративния мост и кухата резба.</w:t>
      </w:r>
    </w:p>
    <w:p w:rsidR="00724590" w:rsidRDefault="00FD2CA1" w:rsidP="00FD2CA1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М4 – </w:t>
      </w:r>
      <w:r w:rsidR="00E80D95">
        <w:rPr>
          <w:rFonts w:asciiTheme="minorHAnsi" w:hAnsiTheme="minorHAnsi" w:cstheme="minorHAnsi"/>
        </w:rPr>
        <w:t>Поставяне на задния изолационен капак.</w:t>
      </w:r>
    </w:p>
    <w:p w:rsidR="00E80D95" w:rsidRDefault="00E80D95" w:rsidP="00FD2CA1">
      <w:pPr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М5 – Свързване на декоративния стъклен аплик към тялото посредством шпилките.</w:t>
      </w:r>
      <w:r w:rsidR="00A93D85" w:rsidRPr="00A93D85">
        <w:rPr>
          <w:rFonts w:asciiTheme="minorHAnsi" w:hAnsiTheme="minorHAnsi" w:cstheme="minorHAnsi"/>
          <w:noProof/>
        </w:rPr>
        <w:t xml:space="preserve"> </w:t>
      </w:r>
    </w:p>
    <w:p w:rsidR="00A93D85" w:rsidRDefault="00A93D85" w:rsidP="00A93D85">
      <w:pPr>
        <w:autoSpaceDE w:val="0"/>
        <w:autoSpaceDN w:val="0"/>
        <w:adjustRightInd w:val="0"/>
        <w:spacing w:after="200" w:line="276" w:lineRule="auto"/>
        <w:ind w:left="1065"/>
        <w:jc w:val="both"/>
        <w:rPr>
          <w:rFonts w:asciiTheme="minorHAnsi" w:hAnsiTheme="minorHAnsi" w:cstheme="minorHAnsi"/>
        </w:rPr>
      </w:pPr>
    </w:p>
    <w:p w:rsidR="0094329D" w:rsidRPr="007D0C29" w:rsidRDefault="00A93D85" w:rsidP="007D0C29">
      <w:pPr>
        <w:autoSpaceDE w:val="0"/>
        <w:autoSpaceDN w:val="0"/>
        <w:adjustRightInd w:val="0"/>
        <w:spacing w:after="200" w:line="276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043987" cy="1781175"/>
            <wp:effectExtent l="19050" t="0" r="0" b="0"/>
            <wp:docPr id="10" name="Picture 2" descr="C:\Users\Predator\Desktop\tu\PT2\krisi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dator\Desktop\tu\PT2\krisi\Untitled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87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590">
        <w:rPr>
          <w:rFonts w:asciiTheme="minorHAnsi" w:hAnsiTheme="minorHAnsi" w:cstheme="minorHAnsi"/>
        </w:rPr>
        <w:t>фиг. 2</w:t>
      </w:r>
    </w:p>
    <w:p w:rsidR="00A93D85" w:rsidRPr="00A93D85" w:rsidRDefault="00A93D85" w:rsidP="00724590">
      <w:pPr>
        <w:autoSpaceDE w:val="0"/>
        <w:autoSpaceDN w:val="0"/>
        <w:adjustRightInd w:val="0"/>
        <w:spacing w:after="200" w:line="276" w:lineRule="auto"/>
        <w:jc w:val="right"/>
        <w:rPr>
          <w:rFonts w:asciiTheme="minorHAnsi" w:hAnsiTheme="minorHAnsi" w:cstheme="minorHAnsi"/>
        </w:rPr>
      </w:pPr>
    </w:p>
    <w:p w:rsidR="0094329D" w:rsidRPr="007A3D07" w:rsidRDefault="007A3D07" w:rsidP="007A3D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К1 – </w:t>
      </w:r>
      <w:r w:rsidR="00E80D95">
        <w:rPr>
          <w:rFonts w:asciiTheme="minorHAnsi" w:hAnsiTheme="minorHAnsi" w:cstheme="minorHAnsi"/>
        </w:rPr>
        <w:t>Проверка за целостта на проводниците</w:t>
      </w:r>
      <w:r>
        <w:rPr>
          <w:rFonts w:asciiTheme="minorHAnsi" w:hAnsiTheme="minorHAnsi" w:cstheme="minorHAnsi"/>
        </w:rPr>
        <w:t>.</w:t>
      </w:r>
    </w:p>
    <w:p w:rsidR="007A3D07" w:rsidRPr="007A3D07" w:rsidRDefault="007A3D07" w:rsidP="007A3D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К2 – проверка на работата</w:t>
      </w:r>
      <w:r w:rsidR="00797073">
        <w:rPr>
          <w:rFonts w:asciiTheme="minorHAnsi" w:hAnsiTheme="minorHAnsi" w:cstheme="minorHAnsi"/>
        </w:rPr>
        <w:t xml:space="preserve"> и здравината</w:t>
      </w:r>
      <w:r>
        <w:rPr>
          <w:rFonts w:asciiTheme="minorHAnsi" w:hAnsiTheme="minorHAnsi" w:cstheme="minorHAnsi"/>
        </w:rPr>
        <w:t xml:space="preserve"> на готовото изделие, съответно дадената документация.</w:t>
      </w:r>
    </w:p>
    <w:p w:rsidR="00FA2BA3" w:rsidRDefault="007A3D07" w:rsidP="00FA2BA3">
      <w:pPr>
        <w:autoSpaceDE w:val="0"/>
        <w:autoSpaceDN w:val="0"/>
        <w:adjustRightInd w:val="0"/>
        <w:spacing w:after="200" w:line="276" w:lineRule="auto"/>
        <w:ind w:firstLine="709"/>
        <w:jc w:val="both"/>
        <w:rPr>
          <w:rFonts w:asciiTheme="minorHAnsi" w:hAnsiTheme="minorHAnsi" w:cstheme="minorHAnsi"/>
          <w:b/>
          <w:lang w:val="en-US"/>
        </w:rPr>
      </w:pPr>
      <w:r w:rsidRPr="007A3D07">
        <w:rPr>
          <w:rFonts w:asciiTheme="minorHAnsi" w:hAnsiTheme="minorHAnsi" w:cstheme="minorHAnsi"/>
          <w:b/>
        </w:rPr>
        <w:t>4.3 Количествени показатели за конструкцията.</w:t>
      </w:r>
    </w:p>
    <w:p w:rsidR="00FA2BA3" w:rsidRDefault="00FA2BA3" w:rsidP="00FA2BA3">
      <w:pPr>
        <w:autoSpaceDE w:val="0"/>
        <w:autoSpaceDN w:val="0"/>
        <w:adjustRightInd w:val="0"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</w:rPr>
        <w:t xml:space="preserve">Основните количествени показатели, за разглежданата конструкция, са: </w:t>
      </w:r>
    </w:p>
    <w:p w:rsidR="00BC69F7" w:rsidRDefault="00BC69F7" w:rsidP="00BC69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ind w:left="0"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Коефициент на нормализация. Определя се чрез отношението на броя на нормализираните </w:t>
      </w:r>
      <w:proofErr w:type="spellStart"/>
      <w:r w:rsidRPr="00BC69F7">
        <w:rPr>
          <w:rFonts w:asciiTheme="minorHAnsi" w:hAnsiTheme="minorHAnsi" w:cstheme="minorHAnsi"/>
          <w:i/>
          <w:lang w:val="en-US"/>
        </w:rPr>
        <w:t>N</w:t>
      </w:r>
      <w:r w:rsidRPr="00BC69F7">
        <w:rPr>
          <w:rFonts w:asciiTheme="minorHAnsi" w:hAnsiTheme="minorHAnsi" w:cstheme="minorHAnsi"/>
          <w:i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</w:rPr>
        <w:t xml:space="preserve"> към общия брой детайли </w:t>
      </w:r>
      <w:r w:rsidRPr="00BC69F7">
        <w:rPr>
          <w:rFonts w:asciiTheme="minorHAnsi" w:hAnsiTheme="minorHAnsi" w:cstheme="minorHAnsi"/>
          <w:i/>
          <w:lang w:val="en-US"/>
        </w:rPr>
        <w:t>N</w:t>
      </w:r>
      <w:r>
        <w:rPr>
          <w:rFonts w:asciiTheme="minorHAnsi" w:hAnsiTheme="minorHAnsi" w:cstheme="minorHAnsi"/>
          <w:i/>
        </w:rPr>
        <w:t>.</w:t>
      </w:r>
    </w:p>
    <w:p w:rsidR="00BC69F7" w:rsidRDefault="00BC69F7" w:rsidP="006D3967">
      <w:pPr>
        <w:pStyle w:val="ListParagraph"/>
        <w:autoSpaceDE w:val="0"/>
        <w:autoSpaceDN w:val="0"/>
        <w:adjustRightInd w:val="0"/>
        <w:spacing w:line="480" w:lineRule="auto"/>
        <w:ind w:left="0"/>
        <w:jc w:val="center"/>
        <w:rPr>
          <w:rFonts w:asciiTheme="minorHAnsi" w:hAnsiTheme="minorHAnsi" w:cstheme="minorHAnsi"/>
          <w:b/>
        </w:rPr>
      </w:pPr>
      <w:proofErr w:type="spellStart"/>
      <w:proofErr w:type="gramStart"/>
      <w:r w:rsidRPr="00BC69F7">
        <w:rPr>
          <w:rFonts w:asciiTheme="minorHAnsi" w:hAnsiTheme="minorHAnsi" w:cstheme="minorHAnsi"/>
          <w:b/>
          <w:lang w:val="en-US"/>
        </w:rPr>
        <w:t>K</w:t>
      </w:r>
      <w:r w:rsidRPr="00BC69F7">
        <w:rPr>
          <w:rFonts w:asciiTheme="minorHAnsi" w:hAnsiTheme="minorHAnsi" w:cstheme="minorHAnsi"/>
          <w:b/>
          <w:vertAlign w:val="subscript"/>
          <w:lang w:val="en-US"/>
        </w:rPr>
        <w:t>n</w:t>
      </w:r>
      <w:proofErr w:type="spellEnd"/>
      <w:r w:rsidRPr="00BC69F7">
        <w:rPr>
          <w:rFonts w:asciiTheme="minorHAnsi" w:hAnsiTheme="minorHAnsi" w:cstheme="minorHAnsi"/>
          <w:b/>
          <w:lang w:val="en-US"/>
        </w:rPr>
        <w:t>=</w:t>
      </w:r>
      <w:proofErr w:type="spellStart"/>
      <w:proofErr w:type="gramEnd"/>
      <w:r w:rsidRPr="00BC69F7">
        <w:rPr>
          <w:rFonts w:asciiTheme="minorHAnsi" w:hAnsiTheme="minorHAnsi" w:cstheme="minorHAnsi"/>
          <w:b/>
          <w:lang w:val="en-US"/>
        </w:rPr>
        <w:t>N</w:t>
      </w:r>
      <w:r w:rsidRPr="00BC69F7">
        <w:rPr>
          <w:rFonts w:asciiTheme="minorHAnsi" w:hAnsiTheme="minorHAnsi" w:cstheme="minorHAnsi"/>
          <w:b/>
          <w:vertAlign w:val="subscript"/>
          <w:lang w:val="en-US"/>
        </w:rPr>
        <w:t>n</w:t>
      </w:r>
      <w:proofErr w:type="spellEnd"/>
      <w:r w:rsidRPr="00BC69F7">
        <w:rPr>
          <w:rFonts w:asciiTheme="minorHAnsi" w:hAnsiTheme="minorHAnsi" w:cstheme="minorHAnsi"/>
          <w:b/>
          <w:lang w:val="en-US"/>
        </w:rPr>
        <w:t>/N</w:t>
      </w:r>
      <w:r w:rsidR="0045009B">
        <w:rPr>
          <w:rFonts w:asciiTheme="minorHAnsi" w:hAnsiTheme="minorHAnsi" w:cstheme="minorHAnsi"/>
          <w:b/>
        </w:rPr>
        <w:t xml:space="preserve"> </w:t>
      </w:r>
      <w:r w:rsidRPr="00BC69F7">
        <w:rPr>
          <w:rFonts w:asciiTheme="minorHAnsi" w:hAnsiTheme="minorHAnsi" w:cstheme="minorHAnsi"/>
          <w:b/>
          <w:lang w:val="en-US"/>
        </w:rPr>
        <w:t>=</w:t>
      </w:r>
      <w:r w:rsidR="0045009B">
        <w:rPr>
          <w:rFonts w:asciiTheme="minorHAnsi" w:hAnsiTheme="minorHAnsi" w:cstheme="minorHAnsi"/>
          <w:b/>
        </w:rPr>
        <w:t xml:space="preserve"> </w:t>
      </w:r>
      <w:r w:rsidR="00C45776">
        <w:rPr>
          <w:rFonts w:asciiTheme="minorHAnsi" w:hAnsiTheme="minorHAnsi" w:cstheme="minorHAnsi"/>
          <w:b/>
        </w:rPr>
        <w:t>3</w:t>
      </w:r>
      <w:r w:rsidRPr="00BC69F7">
        <w:rPr>
          <w:rFonts w:asciiTheme="minorHAnsi" w:hAnsiTheme="minorHAnsi" w:cstheme="minorHAnsi"/>
          <w:b/>
          <w:lang w:val="en-US"/>
        </w:rPr>
        <w:t>/</w:t>
      </w:r>
      <w:r w:rsidR="00DE1DEB">
        <w:rPr>
          <w:rFonts w:asciiTheme="minorHAnsi" w:hAnsiTheme="minorHAnsi" w:cstheme="minorHAnsi"/>
          <w:b/>
        </w:rPr>
        <w:t>1</w:t>
      </w:r>
      <w:r w:rsidR="00E474E7">
        <w:rPr>
          <w:rFonts w:asciiTheme="minorHAnsi" w:hAnsiTheme="minorHAnsi" w:cstheme="minorHAnsi"/>
          <w:b/>
        </w:rPr>
        <w:t>9</w:t>
      </w:r>
      <w:r w:rsidR="0045009B">
        <w:rPr>
          <w:rFonts w:asciiTheme="minorHAnsi" w:hAnsiTheme="minorHAnsi" w:cstheme="minorHAnsi"/>
          <w:b/>
        </w:rPr>
        <w:t xml:space="preserve"> </w:t>
      </w:r>
      <w:r w:rsidRPr="00BC69F7">
        <w:rPr>
          <w:rFonts w:asciiTheme="minorHAnsi" w:hAnsiTheme="minorHAnsi" w:cstheme="minorHAnsi"/>
          <w:b/>
          <w:lang w:val="en-US"/>
        </w:rPr>
        <w:t>=</w:t>
      </w:r>
      <w:r w:rsidR="0045009B">
        <w:rPr>
          <w:rFonts w:asciiTheme="minorHAnsi" w:hAnsiTheme="minorHAnsi" w:cstheme="minorHAnsi"/>
          <w:b/>
        </w:rPr>
        <w:t xml:space="preserve"> </w:t>
      </w:r>
      <w:r w:rsidRPr="00BC69F7">
        <w:rPr>
          <w:rFonts w:asciiTheme="minorHAnsi" w:hAnsiTheme="minorHAnsi" w:cstheme="minorHAnsi"/>
          <w:b/>
          <w:lang w:val="en-US"/>
        </w:rPr>
        <w:t>0.</w:t>
      </w:r>
      <w:r w:rsidR="00E474E7">
        <w:rPr>
          <w:rFonts w:asciiTheme="minorHAnsi" w:hAnsiTheme="minorHAnsi" w:cstheme="minorHAnsi"/>
          <w:b/>
        </w:rPr>
        <w:t>15</w:t>
      </w:r>
    </w:p>
    <w:p w:rsidR="0052166C" w:rsidRPr="006D3967" w:rsidRDefault="0052166C" w:rsidP="005216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Коефициент на стандартизация. Определя се чрез отношението на броя на стандартизираните </w:t>
      </w:r>
      <w:r w:rsidRPr="00BC69F7">
        <w:rPr>
          <w:rFonts w:asciiTheme="minorHAnsi" w:hAnsiTheme="minorHAnsi" w:cstheme="minorHAnsi"/>
          <w:i/>
          <w:lang w:val="en-US"/>
        </w:rPr>
        <w:t>N</w:t>
      </w:r>
      <w:r>
        <w:rPr>
          <w:rFonts w:asciiTheme="minorHAnsi" w:hAnsiTheme="minorHAnsi" w:cstheme="minorHAnsi"/>
          <w:i/>
          <w:vertAlign w:val="subscript"/>
        </w:rPr>
        <w:t>с</w:t>
      </w:r>
      <w:r>
        <w:rPr>
          <w:rFonts w:asciiTheme="minorHAnsi" w:hAnsiTheme="minorHAnsi" w:cstheme="minorHAnsi"/>
        </w:rPr>
        <w:t xml:space="preserve"> към общия брой детайли </w:t>
      </w:r>
      <w:r w:rsidRPr="00BC69F7">
        <w:rPr>
          <w:rFonts w:asciiTheme="minorHAnsi" w:hAnsiTheme="minorHAnsi" w:cstheme="minorHAnsi"/>
          <w:i/>
          <w:lang w:val="en-US"/>
        </w:rPr>
        <w:t>N</w:t>
      </w:r>
      <w:r>
        <w:rPr>
          <w:rFonts w:asciiTheme="minorHAnsi" w:hAnsiTheme="minorHAnsi" w:cstheme="minorHAnsi"/>
          <w:i/>
        </w:rPr>
        <w:t>.</w:t>
      </w:r>
    </w:p>
    <w:p w:rsidR="0052166C" w:rsidRPr="006D3967" w:rsidRDefault="0052166C" w:rsidP="0052166C">
      <w:pPr>
        <w:autoSpaceDE w:val="0"/>
        <w:autoSpaceDN w:val="0"/>
        <w:adjustRightInd w:val="0"/>
        <w:spacing w:line="480" w:lineRule="auto"/>
        <w:jc w:val="center"/>
        <w:rPr>
          <w:rFonts w:asciiTheme="minorHAnsi" w:hAnsiTheme="minorHAnsi" w:cstheme="minorHAnsi"/>
          <w:b/>
        </w:rPr>
      </w:pPr>
      <w:r w:rsidRPr="006D3967">
        <w:rPr>
          <w:rFonts w:asciiTheme="minorHAnsi" w:hAnsiTheme="minorHAnsi" w:cstheme="minorHAnsi"/>
          <w:b/>
          <w:lang w:val="en-US"/>
        </w:rPr>
        <w:t>K</w:t>
      </w:r>
      <w:r w:rsidR="00E474E7">
        <w:rPr>
          <w:rFonts w:asciiTheme="minorHAnsi" w:hAnsiTheme="minorHAnsi" w:cstheme="minorHAnsi"/>
          <w:b/>
          <w:vertAlign w:val="subscript"/>
        </w:rPr>
        <w:t>с</w:t>
      </w:r>
      <w:r w:rsidRPr="006D3967">
        <w:rPr>
          <w:rFonts w:asciiTheme="minorHAnsi" w:hAnsiTheme="minorHAnsi" w:cstheme="minorHAnsi"/>
          <w:b/>
          <w:lang w:val="en-US"/>
        </w:rPr>
        <w:t>=N</w:t>
      </w:r>
      <w:r w:rsidR="00E474E7">
        <w:rPr>
          <w:rFonts w:asciiTheme="minorHAnsi" w:hAnsiTheme="minorHAnsi" w:cstheme="minorHAnsi"/>
          <w:b/>
          <w:vertAlign w:val="subscript"/>
        </w:rPr>
        <w:t>с</w:t>
      </w:r>
      <w:r w:rsidRPr="006D3967">
        <w:rPr>
          <w:rFonts w:asciiTheme="minorHAnsi" w:hAnsiTheme="minorHAnsi" w:cstheme="minorHAnsi"/>
          <w:b/>
          <w:lang w:val="en-US"/>
        </w:rPr>
        <w:t>/N</w:t>
      </w:r>
      <w:r>
        <w:rPr>
          <w:rFonts w:asciiTheme="minorHAnsi" w:hAnsiTheme="minorHAnsi" w:cstheme="minorHAnsi"/>
          <w:b/>
        </w:rPr>
        <w:t xml:space="preserve"> </w:t>
      </w:r>
      <w:r w:rsidRPr="006D3967">
        <w:rPr>
          <w:rFonts w:asciiTheme="minorHAnsi" w:hAnsiTheme="minorHAnsi" w:cstheme="minorHAnsi"/>
          <w:b/>
          <w:lang w:val="en-US"/>
        </w:rPr>
        <w:t>=</w:t>
      </w:r>
      <w:r>
        <w:rPr>
          <w:rFonts w:asciiTheme="minorHAnsi" w:hAnsiTheme="minorHAnsi" w:cstheme="minorHAnsi"/>
          <w:b/>
        </w:rPr>
        <w:t xml:space="preserve"> </w:t>
      </w:r>
      <w:r w:rsidR="00E474E7">
        <w:rPr>
          <w:rFonts w:asciiTheme="minorHAnsi" w:hAnsiTheme="minorHAnsi" w:cstheme="minorHAnsi"/>
          <w:b/>
        </w:rPr>
        <w:t>8</w:t>
      </w:r>
      <w:r w:rsidRPr="006D3967">
        <w:rPr>
          <w:rFonts w:asciiTheme="minorHAnsi" w:hAnsiTheme="minorHAnsi" w:cstheme="minorHAnsi"/>
          <w:b/>
          <w:lang w:val="en-US"/>
        </w:rPr>
        <w:t>/</w:t>
      </w:r>
      <w:r>
        <w:rPr>
          <w:rFonts w:asciiTheme="minorHAnsi" w:hAnsiTheme="minorHAnsi" w:cstheme="minorHAnsi"/>
          <w:b/>
        </w:rPr>
        <w:t>1</w:t>
      </w:r>
      <w:r w:rsidR="00E474E7">
        <w:rPr>
          <w:rFonts w:asciiTheme="minorHAnsi" w:hAnsiTheme="minorHAnsi" w:cstheme="minorHAnsi"/>
          <w:b/>
        </w:rPr>
        <w:t>9</w:t>
      </w:r>
      <w:r>
        <w:rPr>
          <w:rFonts w:asciiTheme="minorHAnsi" w:hAnsiTheme="minorHAnsi" w:cstheme="minorHAnsi"/>
          <w:b/>
        </w:rPr>
        <w:t xml:space="preserve"> </w:t>
      </w:r>
      <w:r w:rsidRPr="006D3967">
        <w:rPr>
          <w:rFonts w:asciiTheme="minorHAnsi" w:hAnsiTheme="minorHAnsi" w:cstheme="minorHAnsi"/>
          <w:b/>
          <w:lang w:val="en-US"/>
        </w:rPr>
        <w:t>=</w:t>
      </w:r>
      <w:r>
        <w:rPr>
          <w:rFonts w:asciiTheme="minorHAnsi" w:hAnsiTheme="minorHAnsi" w:cstheme="minorHAnsi"/>
          <w:b/>
        </w:rPr>
        <w:t xml:space="preserve"> </w:t>
      </w:r>
      <w:r w:rsidRPr="006D3967">
        <w:rPr>
          <w:rFonts w:asciiTheme="minorHAnsi" w:hAnsiTheme="minorHAnsi" w:cstheme="minorHAnsi"/>
          <w:b/>
          <w:lang w:val="en-US"/>
        </w:rPr>
        <w:t>0.</w:t>
      </w:r>
      <w:r w:rsidR="00E474E7">
        <w:rPr>
          <w:rFonts w:asciiTheme="minorHAnsi" w:hAnsiTheme="minorHAnsi" w:cstheme="minorHAnsi"/>
          <w:b/>
        </w:rPr>
        <w:t>42</w:t>
      </w:r>
    </w:p>
    <w:p w:rsidR="006D3967" w:rsidRPr="006D3967" w:rsidRDefault="006D3967" w:rsidP="006D39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lastRenderedPageBreak/>
        <w:t xml:space="preserve">Коефициент на приемственост. Определя се чрез отношението на сумата от броя на нормализираните, стандартните и взаимстваните детайли </w:t>
      </w:r>
      <w:r>
        <w:rPr>
          <w:rFonts w:asciiTheme="minorHAnsi" w:hAnsiTheme="minorHAnsi" w:cstheme="minorHAnsi"/>
          <w:lang w:val="en-US"/>
        </w:rPr>
        <w:t>(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6D3967">
        <w:rPr>
          <w:rFonts w:asciiTheme="minorHAnsi" w:hAnsiTheme="minorHAnsi" w:cstheme="minorHAnsi"/>
          <w:vertAlign w:val="subscript"/>
          <w:lang w:val="en-US"/>
        </w:rPr>
        <w:t>n</w:t>
      </w:r>
      <w:r>
        <w:rPr>
          <w:rFonts w:asciiTheme="minorHAnsi" w:hAnsiTheme="minorHAnsi" w:cstheme="minorHAnsi"/>
          <w:lang w:val="en-US"/>
        </w:rPr>
        <w:t>+N</w:t>
      </w:r>
      <w:r w:rsidRPr="006D3967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lang w:val="en-US"/>
        </w:rPr>
        <w:t>+N</w:t>
      </w:r>
      <w:proofErr w:type="spellEnd"/>
      <w:r w:rsidRPr="006D3967">
        <w:rPr>
          <w:rFonts w:asciiTheme="minorHAnsi" w:hAnsiTheme="minorHAnsi" w:cstheme="minorHAnsi"/>
          <w:vertAlign w:val="subscript"/>
        </w:rPr>
        <w:t>в</w:t>
      </w:r>
      <w:r>
        <w:rPr>
          <w:rFonts w:asciiTheme="minorHAnsi" w:hAnsiTheme="minorHAnsi" w:cstheme="minorHAnsi"/>
        </w:rPr>
        <w:t xml:space="preserve">) към общия брой детайли </w:t>
      </w:r>
      <w:r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</w:rPr>
        <w:t xml:space="preserve">. По-удобно е да се ползва формулата, включваща броя на оригиналните елементи </w:t>
      </w:r>
      <w:r>
        <w:rPr>
          <w:rFonts w:asciiTheme="minorHAnsi" w:hAnsiTheme="minorHAnsi" w:cstheme="minorHAnsi"/>
          <w:lang w:val="en-US"/>
        </w:rPr>
        <w:t>N</w:t>
      </w:r>
      <w:r w:rsidRPr="006D3967"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</w:rPr>
        <w:t>.</w:t>
      </w:r>
    </w:p>
    <w:p w:rsidR="006D3967" w:rsidRPr="00C14E6E" w:rsidRDefault="006D3967" w:rsidP="006D3967">
      <w:pPr>
        <w:autoSpaceDE w:val="0"/>
        <w:autoSpaceDN w:val="0"/>
        <w:adjustRightInd w:val="0"/>
        <w:spacing w:line="480" w:lineRule="auto"/>
        <w:jc w:val="center"/>
        <w:rPr>
          <w:rFonts w:asciiTheme="minorHAnsi" w:hAnsiTheme="minorHAnsi" w:cstheme="minorHAnsi"/>
          <w:b/>
        </w:rPr>
      </w:pPr>
      <w:proofErr w:type="spellStart"/>
      <w:r w:rsidRPr="006D3967">
        <w:rPr>
          <w:rFonts w:asciiTheme="minorHAnsi" w:hAnsiTheme="minorHAnsi" w:cstheme="minorHAnsi"/>
          <w:b/>
          <w:lang w:val="en-US"/>
        </w:rPr>
        <w:t>K</w:t>
      </w:r>
      <w:r w:rsidRPr="006D3967">
        <w:rPr>
          <w:rFonts w:asciiTheme="minorHAnsi" w:hAnsiTheme="minorHAnsi" w:cstheme="minorHAnsi"/>
          <w:b/>
          <w:vertAlign w:val="subscript"/>
          <w:lang w:val="en-US"/>
        </w:rPr>
        <w:t>n</w:t>
      </w:r>
      <w:proofErr w:type="spellEnd"/>
      <w:proofErr w:type="gramStart"/>
      <w:r w:rsidRPr="006D3967">
        <w:rPr>
          <w:rFonts w:asciiTheme="minorHAnsi" w:hAnsiTheme="minorHAnsi" w:cstheme="minorHAnsi"/>
          <w:b/>
          <w:lang w:val="en-US"/>
        </w:rPr>
        <w:t>=</w:t>
      </w:r>
      <w:r>
        <w:rPr>
          <w:rFonts w:asciiTheme="minorHAnsi" w:hAnsiTheme="minorHAnsi" w:cstheme="minorHAnsi"/>
          <w:b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lang w:val="en-US"/>
        </w:rPr>
        <w:t>N-</w:t>
      </w:r>
      <w:r w:rsidRPr="006D3967">
        <w:rPr>
          <w:rFonts w:asciiTheme="minorHAnsi" w:hAnsiTheme="minorHAnsi" w:cstheme="minorHAnsi"/>
          <w:b/>
          <w:lang w:val="en-US"/>
        </w:rPr>
        <w:t>N</w:t>
      </w:r>
      <w:r>
        <w:rPr>
          <w:rFonts w:asciiTheme="minorHAnsi" w:hAnsiTheme="minorHAnsi" w:cstheme="minorHAnsi"/>
          <w:b/>
          <w:vertAlign w:val="subscript"/>
          <w:lang w:val="en-US"/>
        </w:rPr>
        <w:t>o</w:t>
      </w:r>
      <w:r>
        <w:rPr>
          <w:rFonts w:asciiTheme="minorHAnsi" w:hAnsiTheme="minorHAnsi" w:cstheme="minorHAnsi"/>
          <w:b/>
          <w:lang w:val="en-US"/>
        </w:rPr>
        <w:t>)</w:t>
      </w:r>
      <w:r w:rsidRPr="006D3967">
        <w:rPr>
          <w:rFonts w:asciiTheme="minorHAnsi" w:hAnsiTheme="minorHAnsi" w:cstheme="minorHAnsi"/>
          <w:b/>
          <w:lang w:val="en-US"/>
        </w:rPr>
        <w:t>/N</w:t>
      </w:r>
      <w:r w:rsidR="0045009B">
        <w:rPr>
          <w:rFonts w:asciiTheme="minorHAnsi" w:hAnsiTheme="minorHAnsi" w:cstheme="minorHAnsi"/>
          <w:b/>
        </w:rPr>
        <w:t xml:space="preserve"> </w:t>
      </w:r>
      <w:r w:rsidRPr="006D3967">
        <w:rPr>
          <w:rFonts w:asciiTheme="minorHAnsi" w:hAnsiTheme="minorHAnsi" w:cstheme="minorHAnsi"/>
          <w:b/>
          <w:lang w:val="en-US"/>
        </w:rPr>
        <w:t>=</w:t>
      </w:r>
      <w:r w:rsidR="0045009B">
        <w:rPr>
          <w:rFonts w:asciiTheme="minorHAnsi" w:hAnsiTheme="minorHAnsi" w:cstheme="minorHAnsi"/>
          <w:b/>
        </w:rPr>
        <w:t xml:space="preserve"> </w:t>
      </w:r>
      <w:r w:rsidR="00A71834">
        <w:rPr>
          <w:rFonts w:asciiTheme="minorHAnsi" w:hAnsiTheme="minorHAnsi" w:cstheme="minorHAnsi"/>
          <w:b/>
          <w:lang w:val="en-US"/>
        </w:rPr>
        <w:t>(</w:t>
      </w:r>
      <w:r w:rsidR="00DE1DEB">
        <w:rPr>
          <w:rFonts w:asciiTheme="minorHAnsi" w:hAnsiTheme="minorHAnsi" w:cstheme="minorHAnsi"/>
          <w:b/>
        </w:rPr>
        <w:t>1</w:t>
      </w:r>
      <w:r w:rsidR="00E474E7">
        <w:rPr>
          <w:rFonts w:asciiTheme="minorHAnsi" w:hAnsiTheme="minorHAnsi" w:cstheme="minorHAnsi"/>
          <w:b/>
        </w:rPr>
        <w:t>9</w:t>
      </w:r>
      <w:r w:rsidR="009365DA">
        <w:rPr>
          <w:rFonts w:asciiTheme="minorHAnsi" w:hAnsiTheme="minorHAnsi" w:cstheme="minorHAnsi"/>
          <w:b/>
          <w:lang w:val="en-US"/>
        </w:rPr>
        <w:t>-</w:t>
      </w:r>
      <w:r w:rsidR="00E474E7">
        <w:rPr>
          <w:rFonts w:asciiTheme="minorHAnsi" w:hAnsiTheme="minorHAnsi" w:cstheme="minorHAnsi"/>
          <w:b/>
        </w:rPr>
        <w:t>11</w:t>
      </w:r>
      <w:r w:rsidR="009365DA">
        <w:rPr>
          <w:rFonts w:asciiTheme="minorHAnsi" w:hAnsiTheme="minorHAnsi" w:cstheme="minorHAnsi"/>
          <w:b/>
          <w:lang w:val="en-US"/>
        </w:rPr>
        <w:t>)</w:t>
      </w:r>
      <w:r w:rsidRPr="006D3967">
        <w:rPr>
          <w:rFonts w:asciiTheme="minorHAnsi" w:hAnsiTheme="minorHAnsi" w:cstheme="minorHAnsi"/>
          <w:b/>
          <w:lang w:val="en-US"/>
        </w:rPr>
        <w:t>/</w:t>
      </w:r>
      <w:r w:rsidR="00DE1DEB">
        <w:rPr>
          <w:rFonts w:asciiTheme="minorHAnsi" w:hAnsiTheme="minorHAnsi" w:cstheme="minorHAnsi"/>
          <w:b/>
        </w:rPr>
        <w:t>1</w:t>
      </w:r>
      <w:r w:rsidR="00E474E7">
        <w:rPr>
          <w:rFonts w:asciiTheme="minorHAnsi" w:hAnsiTheme="minorHAnsi" w:cstheme="minorHAnsi"/>
          <w:b/>
        </w:rPr>
        <w:t>9</w:t>
      </w:r>
      <w:r w:rsidR="0045009B">
        <w:rPr>
          <w:rFonts w:asciiTheme="minorHAnsi" w:hAnsiTheme="minorHAnsi" w:cstheme="minorHAnsi"/>
          <w:b/>
        </w:rPr>
        <w:t xml:space="preserve"> </w:t>
      </w:r>
      <w:r w:rsidRPr="006D3967">
        <w:rPr>
          <w:rFonts w:asciiTheme="minorHAnsi" w:hAnsiTheme="minorHAnsi" w:cstheme="minorHAnsi"/>
          <w:b/>
          <w:lang w:val="en-US"/>
        </w:rPr>
        <w:t>=</w:t>
      </w:r>
      <w:r w:rsidR="0045009B">
        <w:rPr>
          <w:rFonts w:asciiTheme="minorHAnsi" w:hAnsiTheme="minorHAnsi" w:cstheme="minorHAnsi"/>
          <w:b/>
        </w:rPr>
        <w:t xml:space="preserve"> </w:t>
      </w:r>
      <w:r w:rsidRPr="006D3967">
        <w:rPr>
          <w:rFonts w:asciiTheme="minorHAnsi" w:hAnsiTheme="minorHAnsi" w:cstheme="minorHAnsi"/>
          <w:b/>
          <w:lang w:val="en-US"/>
        </w:rPr>
        <w:t>0.</w:t>
      </w:r>
      <w:r w:rsidR="00E474E7">
        <w:rPr>
          <w:rFonts w:asciiTheme="minorHAnsi" w:hAnsiTheme="minorHAnsi" w:cstheme="minorHAnsi"/>
          <w:b/>
        </w:rPr>
        <w:t>42</w:t>
      </w:r>
    </w:p>
    <w:p w:rsidR="006D3967" w:rsidRDefault="00CD3BA4" w:rsidP="00CD3BA4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</w:rPr>
        <w:t xml:space="preserve">Получените </w:t>
      </w:r>
      <w:r w:rsidR="00E474E7">
        <w:rPr>
          <w:rFonts w:asciiTheme="minorHAnsi" w:hAnsiTheme="minorHAnsi" w:cstheme="minorHAnsi"/>
        </w:rPr>
        <w:t>средни</w:t>
      </w:r>
      <w:r>
        <w:rPr>
          <w:rFonts w:asciiTheme="minorHAnsi" w:hAnsiTheme="minorHAnsi" w:cstheme="minorHAnsi"/>
        </w:rPr>
        <w:t xml:space="preserve"> стойности на количествените показатели за конструкцията са показател за </w:t>
      </w:r>
      <w:r w:rsidR="00E474E7">
        <w:rPr>
          <w:rFonts w:asciiTheme="minorHAnsi" w:hAnsiTheme="minorHAnsi" w:cstheme="minorHAnsi"/>
        </w:rPr>
        <w:t xml:space="preserve">относително </w:t>
      </w:r>
      <w:r w:rsidR="0040211E">
        <w:rPr>
          <w:rFonts w:asciiTheme="minorHAnsi" w:hAnsiTheme="minorHAnsi" w:cstheme="minorHAnsi"/>
        </w:rPr>
        <w:t>високи</w:t>
      </w:r>
      <w:r>
        <w:rPr>
          <w:rFonts w:asciiTheme="minorHAnsi" w:hAnsiTheme="minorHAnsi" w:cstheme="minorHAnsi"/>
        </w:rPr>
        <w:t xml:space="preserve"> производствени разходи, поради използването на голям брой </w:t>
      </w:r>
      <w:r w:rsidR="0040211E">
        <w:rPr>
          <w:rFonts w:asciiTheme="minorHAnsi" w:hAnsiTheme="minorHAnsi" w:cstheme="minorHAnsi"/>
        </w:rPr>
        <w:t>оригинални</w:t>
      </w:r>
      <w:r>
        <w:rPr>
          <w:rFonts w:asciiTheme="minorHAnsi" w:hAnsiTheme="minorHAnsi" w:cstheme="minorHAnsi"/>
        </w:rPr>
        <w:t xml:space="preserve"> детайли, и същевременно малък брой </w:t>
      </w:r>
      <w:r w:rsidR="0040211E">
        <w:rPr>
          <w:rFonts w:asciiTheme="minorHAnsi" w:hAnsiTheme="minorHAnsi" w:cstheme="minorHAnsi"/>
        </w:rPr>
        <w:t>нормирани</w:t>
      </w:r>
      <w:r>
        <w:rPr>
          <w:rFonts w:asciiTheme="minorHAnsi" w:hAnsiTheme="minorHAnsi" w:cstheme="minorHAnsi"/>
        </w:rPr>
        <w:t xml:space="preserve"> детайли. Тези фактори са предпоставка за високо качество </w:t>
      </w:r>
      <w:r w:rsidR="0040211E">
        <w:rPr>
          <w:rFonts w:asciiTheme="minorHAnsi" w:hAnsiTheme="minorHAnsi" w:cstheme="minorHAnsi"/>
        </w:rPr>
        <w:t xml:space="preserve">и надеждност, но </w:t>
      </w:r>
      <w:r w:rsidR="00E474E7">
        <w:rPr>
          <w:rFonts w:asciiTheme="minorHAnsi" w:hAnsiTheme="minorHAnsi" w:cstheme="minorHAnsi"/>
        </w:rPr>
        <w:t xml:space="preserve">относително </w:t>
      </w:r>
      <w:r w:rsidR="0040211E">
        <w:rPr>
          <w:rFonts w:asciiTheme="minorHAnsi" w:hAnsiTheme="minorHAnsi" w:cstheme="minorHAnsi"/>
        </w:rPr>
        <w:t xml:space="preserve">висока </w:t>
      </w:r>
      <w:r w:rsidR="00834590">
        <w:rPr>
          <w:rFonts w:asciiTheme="minorHAnsi" w:hAnsiTheme="minorHAnsi" w:cstheme="minorHAnsi"/>
        </w:rPr>
        <w:t xml:space="preserve">пазарна цена на разглежданото изделие. </w:t>
      </w:r>
    </w:p>
    <w:p w:rsidR="0004370F" w:rsidRDefault="0004370F" w:rsidP="00CD3BA4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950AF3" w:rsidRDefault="0004370F" w:rsidP="00950AF3">
      <w:pPr>
        <w:pStyle w:val="Default"/>
        <w:rPr>
          <w:rFonts w:asciiTheme="minorHAnsi" w:hAnsiTheme="minorHAnsi" w:cstheme="minorHAnsi"/>
          <w:b/>
          <w:bCs/>
          <w:lang w:val="en-US"/>
        </w:rPr>
      </w:pPr>
      <w:r w:rsidRPr="00950AF3">
        <w:rPr>
          <w:rFonts w:asciiTheme="minorHAnsi" w:hAnsiTheme="minorHAnsi" w:cstheme="minorHAnsi"/>
        </w:rPr>
        <w:tab/>
      </w:r>
      <w:r w:rsidR="00950AF3" w:rsidRPr="00950AF3">
        <w:rPr>
          <w:rFonts w:asciiTheme="minorHAnsi" w:hAnsiTheme="minorHAnsi" w:cstheme="minorHAnsi"/>
          <w:b/>
          <w:bCs/>
        </w:rPr>
        <w:t xml:space="preserve">5. Технологичен анализ на </w:t>
      </w:r>
      <w:r w:rsidR="00250123">
        <w:rPr>
          <w:rFonts w:asciiTheme="minorHAnsi" w:hAnsiTheme="minorHAnsi" w:cstheme="minorHAnsi"/>
          <w:b/>
          <w:bCs/>
        </w:rPr>
        <w:t>възела</w:t>
      </w:r>
      <w:r w:rsidR="00950AF3" w:rsidRPr="00950AF3">
        <w:rPr>
          <w:rFonts w:asciiTheme="minorHAnsi" w:hAnsiTheme="minorHAnsi" w:cstheme="minorHAnsi"/>
          <w:b/>
          <w:bCs/>
        </w:rPr>
        <w:t xml:space="preserve"> „</w:t>
      </w:r>
      <w:r w:rsidR="00282322">
        <w:rPr>
          <w:rFonts w:asciiTheme="minorHAnsi" w:hAnsiTheme="minorHAnsi" w:cstheme="minorHAnsi"/>
          <w:b/>
          <w:bCs/>
        </w:rPr>
        <w:t>основа</w:t>
      </w:r>
      <w:r w:rsidR="005F1CE7">
        <w:rPr>
          <w:rFonts w:asciiTheme="minorHAnsi" w:hAnsiTheme="minorHAnsi" w:cstheme="minorHAnsi"/>
          <w:b/>
          <w:bCs/>
        </w:rPr>
        <w:t>”</w:t>
      </w:r>
      <w:r w:rsidR="00950AF3" w:rsidRPr="00950AF3">
        <w:rPr>
          <w:rFonts w:asciiTheme="minorHAnsi" w:hAnsiTheme="minorHAnsi" w:cstheme="minorHAnsi"/>
          <w:b/>
          <w:bCs/>
        </w:rPr>
        <w:t xml:space="preserve">. </w:t>
      </w:r>
    </w:p>
    <w:p w:rsidR="00950AF3" w:rsidRPr="00950AF3" w:rsidRDefault="00950AF3" w:rsidP="00950AF3">
      <w:pPr>
        <w:pStyle w:val="Default"/>
        <w:rPr>
          <w:rFonts w:asciiTheme="minorHAnsi" w:hAnsiTheme="minorHAnsi" w:cstheme="minorHAnsi"/>
          <w:lang w:val="en-US"/>
        </w:rPr>
      </w:pPr>
    </w:p>
    <w:p w:rsidR="00282322" w:rsidRPr="00950AF3" w:rsidRDefault="00282322" w:rsidP="00282322">
      <w:pPr>
        <w:pStyle w:val="Default"/>
        <w:rPr>
          <w:rFonts w:asciiTheme="minorHAnsi" w:hAnsiTheme="minorHAnsi" w:cstheme="minorHAnsi"/>
          <w:lang w:val="en-US"/>
        </w:rPr>
      </w:pPr>
    </w:p>
    <w:p w:rsidR="00282322" w:rsidRDefault="00282322" w:rsidP="00282322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Theme="minorHAnsi" w:hAnsiTheme="minorHAnsi" w:cstheme="minorHAnsi"/>
        </w:rPr>
      </w:pPr>
      <w:r w:rsidRPr="00950AF3">
        <w:rPr>
          <w:rFonts w:asciiTheme="minorHAnsi" w:hAnsiTheme="minorHAnsi" w:cstheme="minorHAnsi"/>
        </w:rPr>
        <w:t>Детайлът „</w:t>
      </w:r>
      <w:r>
        <w:rPr>
          <w:rFonts w:asciiTheme="minorHAnsi" w:hAnsiTheme="minorHAnsi" w:cstheme="minorHAnsi"/>
        </w:rPr>
        <w:t>основа</w:t>
      </w:r>
      <w:r w:rsidRPr="00950AF3">
        <w:rPr>
          <w:rFonts w:asciiTheme="minorHAnsi" w:hAnsiTheme="minorHAnsi" w:cstheme="minorHAnsi"/>
        </w:rPr>
        <w:t xml:space="preserve">” е базов детайл за възела </w:t>
      </w:r>
      <w:r>
        <w:rPr>
          <w:rFonts w:asciiTheme="minorHAnsi" w:hAnsiTheme="minorHAnsi" w:cstheme="minorHAnsi"/>
        </w:rPr>
        <w:t>корпус.</w:t>
      </w:r>
      <w:r w:rsidRPr="00950AF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Тялото е основен детайл на изделието, като през него минават проводниците за свръзка с електрическата мрежа, и се свързва с капака, служещ за прикачване към стена или друга повърхно</w:t>
      </w:r>
      <w:r w:rsidR="00DA62D2">
        <w:rPr>
          <w:rFonts w:asciiTheme="minorHAnsi" w:hAnsiTheme="minorHAnsi" w:cstheme="minorHAnsi"/>
        </w:rPr>
        <w:t>ст. Детайлът е показан на фигур</w:t>
      </w:r>
      <w:r>
        <w:rPr>
          <w:rFonts w:asciiTheme="minorHAnsi" w:hAnsiTheme="minorHAnsi" w:cstheme="minorHAnsi"/>
        </w:rPr>
        <w:t>а 3.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993902" cy="1495425"/>
            <wp:effectExtent l="19050" t="0" r="6348" b="0"/>
            <wp:docPr id="1" name="Picture 0" descr="IMG_2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24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41" cy="14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фиг. 3          </w:t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1933575" cy="1450181"/>
            <wp:effectExtent l="19050" t="0" r="9525" b="0"/>
            <wp:docPr id="9" name="Picture 7" descr="IMG_2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25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936" cy="14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фиг.4                   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</w:rPr>
      </w:pPr>
      <w:r w:rsidRPr="003272A2">
        <w:rPr>
          <w:rFonts w:asciiTheme="minorHAnsi" w:hAnsiTheme="minorHAnsi" w:cstheme="minorHAnsi"/>
          <w:b/>
        </w:rPr>
        <w:tab/>
        <w:t>5.1 Изходен материал.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Изходния матер</w:t>
      </w:r>
      <w:r w:rsidR="00DA62D2">
        <w:rPr>
          <w:rFonts w:asciiTheme="minorHAnsi" w:hAnsiTheme="minorHAnsi" w:cstheme="minorHAnsi"/>
        </w:rPr>
        <w:t xml:space="preserve">иал за направата на детайла основа </w:t>
      </w:r>
      <w:r>
        <w:rPr>
          <w:rFonts w:asciiTheme="minorHAnsi" w:hAnsiTheme="minorHAnsi" w:cstheme="minorHAnsi"/>
        </w:rPr>
        <w:t>е индустриална стомана под формата на листове, които се щанцуват с цел получаването на заготовки.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Pr="00BC4A90">
        <w:rPr>
          <w:rFonts w:asciiTheme="minorHAnsi" w:hAnsiTheme="minorHAnsi" w:cstheme="minorHAnsi"/>
          <w:b/>
        </w:rPr>
        <w:t>5.2 Базова технология.</w:t>
      </w:r>
    </w:p>
    <w:p w:rsidR="00282322" w:rsidRDefault="00282322" w:rsidP="00282322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t>Листове от индустриална стомана се изрязват с преса за щанцуване, в определена форма. Така се получават заготовки, които после се поставят в машина за дълбоко изтегляне. След тази операция, заготовката вече добила нужната форма, се поставя на фреза, с която се изрязват отворите за прекарване на проводниците.</w:t>
      </w:r>
    </w:p>
    <w:p w:rsidR="00282322" w:rsidRDefault="00282322" w:rsidP="00282322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При процеса на дълбоко изтегляне се получава остатък, които се изрязва и отстранява. Коефициентът на използване на материала К се определя по следния начин:</w:t>
      </w:r>
    </w:p>
    <w:p w:rsidR="00282322" w:rsidRPr="00E0242E" w:rsidRDefault="00282322" w:rsidP="00282322">
      <w:pPr>
        <w:pStyle w:val="Default"/>
        <w:spacing w:line="276" w:lineRule="auto"/>
        <w:jc w:val="center"/>
        <w:rPr>
          <w:rFonts w:asciiTheme="minorHAnsi" w:hAnsiTheme="minorHAnsi" w:cstheme="minorHAnsi"/>
          <w:b/>
          <w:i/>
        </w:rPr>
      </w:pPr>
      <w:r w:rsidRPr="00322FAC">
        <w:rPr>
          <w:rFonts w:asciiTheme="minorHAnsi" w:hAnsiTheme="minorHAnsi" w:cstheme="minorHAnsi"/>
          <w:b/>
          <w:i/>
          <w:lang w:val="en-US"/>
        </w:rPr>
        <w:t>K=m</w:t>
      </w:r>
      <w:r w:rsidRPr="00322FAC">
        <w:rPr>
          <w:rFonts w:asciiTheme="minorHAnsi" w:hAnsiTheme="minorHAnsi" w:cstheme="minorHAnsi"/>
          <w:b/>
          <w:i/>
          <w:vertAlign w:val="subscript"/>
        </w:rPr>
        <w:t>детайл</w:t>
      </w:r>
      <w:r w:rsidRPr="00322FAC">
        <w:rPr>
          <w:rFonts w:asciiTheme="minorHAnsi" w:hAnsiTheme="minorHAnsi" w:cstheme="minorHAnsi"/>
          <w:b/>
          <w:i/>
          <w:lang w:val="en-US"/>
        </w:rPr>
        <w:t>/ m</w:t>
      </w:r>
      <w:r w:rsidRPr="00322FAC">
        <w:rPr>
          <w:rFonts w:asciiTheme="minorHAnsi" w:hAnsiTheme="minorHAnsi" w:cstheme="minorHAnsi"/>
          <w:b/>
          <w:i/>
          <w:vertAlign w:val="subscript"/>
        </w:rPr>
        <w:t xml:space="preserve">изх. материал </w:t>
      </w:r>
      <w:r w:rsidRPr="00322FAC">
        <w:rPr>
          <w:rFonts w:asciiTheme="minorHAnsi" w:hAnsiTheme="minorHAnsi" w:cstheme="minorHAnsi"/>
          <w:b/>
          <w:i/>
          <w:lang w:val="en-US"/>
        </w:rPr>
        <w:t xml:space="preserve">= </w:t>
      </w:r>
      <w:r>
        <w:rPr>
          <w:rFonts w:asciiTheme="minorHAnsi" w:hAnsiTheme="minorHAnsi" w:cstheme="minorHAnsi"/>
          <w:b/>
          <w:i/>
        </w:rPr>
        <w:t>0.8</w:t>
      </w:r>
    </w:p>
    <w:p w:rsidR="00282322" w:rsidRDefault="00282322" w:rsidP="00282322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Материалът позволява повторна употреба, за това, това което остава като технологичен отпадък се събира и рециклира.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Pr="00076CF2">
        <w:rPr>
          <w:rFonts w:asciiTheme="minorHAnsi" w:hAnsiTheme="minorHAnsi" w:cstheme="minorHAnsi"/>
          <w:b/>
        </w:rPr>
        <w:t>5.3 Допълнителни технологични операции.</w:t>
      </w:r>
    </w:p>
    <w:p w:rsidR="00282322" w:rsidRPr="00025718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При щанцуването и дълбокото изтегляне заготовките се омасляват, за това е необходимо механично почистване след приключване на процесите. Също така при тези процеси се получават израстъци и допълнителен деформиран материал, който трябва да бъде отстранен. Накрая е необходимо поставянето на корозивна защита на детайла и полиране.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</w:rPr>
      </w:pPr>
      <w:r w:rsidRPr="00A6112E">
        <w:rPr>
          <w:rFonts w:asciiTheme="minorHAnsi" w:hAnsiTheme="minorHAnsi" w:cstheme="minorHAnsi"/>
          <w:b/>
        </w:rPr>
        <w:tab/>
        <w:t xml:space="preserve">5.4 Качествено оценка на енергоемкостта. 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Използваните технологии в производството на детайл</w:t>
      </w:r>
      <w:r w:rsidR="00DA62D2">
        <w:rPr>
          <w:rFonts w:asciiTheme="minorHAnsi" w:hAnsiTheme="minorHAnsi" w:cstheme="minorHAnsi"/>
        </w:rPr>
        <w:t>а „основа</w:t>
      </w:r>
      <w:r>
        <w:rPr>
          <w:rFonts w:asciiTheme="minorHAnsi" w:hAnsiTheme="minorHAnsi" w:cstheme="minorHAnsi"/>
        </w:rPr>
        <w:t>” са с висока енергоемкост, тъй като са свързани с високо налягане.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Pr="00A6112E">
        <w:rPr>
          <w:rFonts w:asciiTheme="minorHAnsi" w:hAnsiTheme="minorHAnsi" w:cstheme="minorHAnsi"/>
          <w:b/>
        </w:rPr>
        <w:t>5.5 Алтернативни технологи</w:t>
      </w:r>
      <w:r>
        <w:rPr>
          <w:rFonts w:asciiTheme="minorHAnsi" w:hAnsiTheme="minorHAnsi" w:cstheme="minorHAnsi"/>
          <w:b/>
        </w:rPr>
        <w:t>чни решения</w:t>
      </w:r>
      <w:r w:rsidRPr="00A6112E">
        <w:rPr>
          <w:rFonts w:asciiTheme="minorHAnsi" w:hAnsiTheme="minorHAnsi" w:cstheme="minorHAnsi"/>
          <w:b/>
        </w:rPr>
        <w:t>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Алтернативни решения при</w:t>
      </w:r>
      <w:r w:rsidR="00DA62D2">
        <w:rPr>
          <w:rFonts w:asciiTheme="minorHAnsi" w:hAnsiTheme="minorHAnsi" w:cstheme="minorHAnsi"/>
        </w:rPr>
        <w:t xml:space="preserve"> производството на детайла „основа</w:t>
      </w:r>
      <w:r>
        <w:rPr>
          <w:rFonts w:asciiTheme="minorHAnsi" w:hAnsiTheme="minorHAnsi" w:cstheme="minorHAnsi"/>
        </w:rPr>
        <w:t>” не са възможни, тъй като използваната технология е максимално оптимизирана.</w:t>
      </w: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:rsidR="00282322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8F3E40">
        <w:rPr>
          <w:rFonts w:asciiTheme="minorHAnsi" w:hAnsiTheme="minorHAnsi" w:cstheme="minorHAnsi"/>
          <w:b/>
        </w:rPr>
        <w:t>5.6 Контролни операции</w:t>
      </w:r>
      <w:r>
        <w:rPr>
          <w:rFonts w:asciiTheme="minorHAnsi" w:hAnsiTheme="minorHAnsi" w:cstheme="minorHAnsi"/>
        </w:rPr>
        <w:t>.</w:t>
      </w:r>
    </w:p>
    <w:p w:rsidR="00282322" w:rsidRPr="00297D1F" w:rsidRDefault="00282322" w:rsidP="00282322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След завършване на процесите е необходим контрол за визуално определяне целостта на повърхността и геометрията на детайла.</w:t>
      </w:r>
    </w:p>
    <w:p w:rsidR="00282322" w:rsidRPr="00297D1F" w:rsidRDefault="00282322" w:rsidP="00282322">
      <w:pPr>
        <w:pStyle w:val="Default"/>
        <w:rPr>
          <w:rFonts w:asciiTheme="minorHAnsi" w:hAnsiTheme="minorHAnsi" w:cstheme="minorHAnsi"/>
        </w:rPr>
      </w:pPr>
    </w:p>
    <w:p w:rsidR="00737860" w:rsidRPr="00297D1F" w:rsidRDefault="00737860" w:rsidP="004B2CC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sectPr w:rsidR="00737860" w:rsidRPr="00297D1F" w:rsidSect="00C45776">
      <w:headerReference w:type="default" r:id="rId13"/>
      <w:footerReference w:type="default" r:id="rId14"/>
      <w:pgSz w:w="11906" w:h="16838"/>
      <w:pgMar w:top="1380" w:right="1417" w:bottom="1417" w:left="1417" w:header="56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786" w:rsidRDefault="009A4786" w:rsidP="0094329D">
      <w:r>
        <w:separator/>
      </w:r>
    </w:p>
  </w:endnote>
  <w:endnote w:type="continuationSeparator" w:id="0">
    <w:p w:rsidR="009A4786" w:rsidRDefault="009A4786" w:rsidP="00943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339250"/>
      <w:docPartObj>
        <w:docPartGallery w:val="Page Numbers (Bottom of Page)"/>
        <w:docPartUnique/>
      </w:docPartObj>
    </w:sdtPr>
    <w:sdtContent>
      <w:p w:rsidR="0094329D" w:rsidRDefault="00D943F9">
        <w:pPr>
          <w:pStyle w:val="Footer"/>
        </w:pPr>
        <w:r w:rsidRPr="00D943F9">
          <w:rPr>
            <w:noProof/>
            <w:lang w:val="en-US"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94329D" w:rsidRDefault="00D943F9">
                    <w:pPr>
                      <w:jc w:val="center"/>
                    </w:pPr>
                    <w:r>
                      <w:fldChar w:fldCharType="begin"/>
                    </w:r>
                    <w:r w:rsidR="004A71F1">
                      <w:instrText xml:space="preserve"> PAGE    \* MERGEFORMAT </w:instrText>
                    </w:r>
                    <w:r>
                      <w:fldChar w:fldCharType="separate"/>
                    </w:r>
                    <w:r w:rsidR="008F2964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 w:rsidRPr="00D943F9">
          <w:rPr>
            <w:noProof/>
            <w:lang w:val="en-US"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786" w:rsidRDefault="009A4786" w:rsidP="0094329D">
      <w:r>
        <w:separator/>
      </w:r>
    </w:p>
  </w:footnote>
  <w:footnote w:type="continuationSeparator" w:id="0">
    <w:p w:rsidR="009A4786" w:rsidRDefault="009A4786" w:rsidP="00943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0D3" w:rsidRPr="004100D3" w:rsidRDefault="004100D3" w:rsidP="004100D3">
    <w:pPr>
      <w:pStyle w:val="Header"/>
      <w:jc w:val="center"/>
      <w:rPr>
        <w:color w:val="BFBFBF" w:themeColor="background1" w:themeShade="BF"/>
        <w:sz w:val="32"/>
        <w:szCs w:val="32"/>
      </w:rPr>
    </w:pPr>
    <w:r w:rsidRPr="004100D3">
      <w:rPr>
        <w:noProof/>
        <w:color w:val="BFBFBF" w:themeColor="background1" w:themeShade="BF"/>
        <w:sz w:val="32"/>
        <w:szCs w:val="3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414655</wp:posOffset>
          </wp:positionH>
          <wp:positionV relativeFrom="paragraph">
            <wp:posOffset>-51435</wp:posOffset>
          </wp:positionV>
          <wp:extent cx="400050" cy="361950"/>
          <wp:effectExtent l="19050" t="0" r="0" b="0"/>
          <wp:wrapSquare wrapText="bothSides"/>
          <wp:docPr id="5" name="Picture 2" descr="C:\Users\Predator\Desktop\tu\PT2\tu-logo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edator\Desktop\tu\PT2\tu-logo-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100D3">
      <w:rPr>
        <w:color w:val="BFBFBF" w:themeColor="background1" w:themeShade="BF"/>
        <w:sz w:val="32"/>
        <w:szCs w:val="32"/>
      </w:rPr>
      <w:t>ТЕХНИЧЕСКИ УНИВЕРСИТЕТ - СОФИЯ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72C0734"/>
    <w:lvl w:ilvl="0">
      <w:numFmt w:val="bullet"/>
      <w:lvlText w:val="*"/>
      <w:lvlJc w:val="left"/>
    </w:lvl>
  </w:abstractNum>
  <w:abstractNum w:abstractNumId="1">
    <w:nsid w:val="1C85517B"/>
    <w:multiLevelType w:val="hybridMultilevel"/>
    <w:tmpl w:val="5D26041C"/>
    <w:lvl w:ilvl="0" w:tplc="9E0CC7E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F53C1F"/>
    <w:multiLevelType w:val="hybridMultilevel"/>
    <w:tmpl w:val="643826EE"/>
    <w:lvl w:ilvl="0" w:tplc="3540525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776213"/>
    <w:multiLevelType w:val="hybridMultilevel"/>
    <w:tmpl w:val="01CC284E"/>
    <w:lvl w:ilvl="0" w:tplc="0570F54C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82E4A09"/>
    <w:multiLevelType w:val="hybridMultilevel"/>
    <w:tmpl w:val="1688E4A2"/>
    <w:lvl w:ilvl="0" w:tplc="021E934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80202"/>
    <w:multiLevelType w:val="hybridMultilevel"/>
    <w:tmpl w:val="EFA41562"/>
    <w:lvl w:ilvl="0" w:tplc="0E5432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A262D0"/>
    <w:multiLevelType w:val="hybridMultilevel"/>
    <w:tmpl w:val="89005154"/>
    <w:lvl w:ilvl="0" w:tplc="0570F54C">
      <w:numFmt w:val="bullet"/>
      <w:lvlText w:val="-"/>
      <w:lvlJc w:val="left"/>
      <w:pPr>
        <w:ind w:left="1065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20748"/>
    <w:multiLevelType w:val="hybridMultilevel"/>
    <w:tmpl w:val="2140DC52"/>
    <w:lvl w:ilvl="0" w:tplc="D8DCEA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0795"/>
    <w:rsid w:val="00005CA6"/>
    <w:rsid w:val="000212F0"/>
    <w:rsid w:val="00025718"/>
    <w:rsid w:val="000349F8"/>
    <w:rsid w:val="00042208"/>
    <w:rsid w:val="0004370F"/>
    <w:rsid w:val="00047F7A"/>
    <w:rsid w:val="00054E4E"/>
    <w:rsid w:val="00071731"/>
    <w:rsid w:val="00076CF2"/>
    <w:rsid w:val="00093B69"/>
    <w:rsid w:val="000B7121"/>
    <w:rsid w:val="000C1B20"/>
    <w:rsid w:val="000C3F97"/>
    <w:rsid w:val="000C7A44"/>
    <w:rsid w:val="00100452"/>
    <w:rsid w:val="00134F7C"/>
    <w:rsid w:val="0014007B"/>
    <w:rsid w:val="001467F3"/>
    <w:rsid w:val="00156F1E"/>
    <w:rsid w:val="001D7055"/>
    <w:rsid w:val="001E2891"/>
    <w:rsid w:val="001F722C"/>
    <w:rsid w:val="002038EB"/>
    <w:rsid w:val="0020731A"/>
    <w:rsid w:val="002169B1"/>
    <w:rsid w:val="0022460C"/>
    <w:rsid w:val="00245988"/>
    <w:rsid w:val="00250123"/>
    <w:rsid w:val="0026663B"/>
    <w:rsid w:val="00282322"/>
    <w:rsid w:val="00293D7B"/>
    <w:rsid w:val="00297D1F"/>
    <w:rsid w:val="002A6DD7"/>
    <w:rsid w:val="002B0795"/>
    <w:rsid w:val="002F7BFC"/>
    <w:rsid w:val="00306CE7"/>
    <w:rsid w:val="00317222"/>
    <w:rsid w:val="00322FAC"/>
    <w:rsid w:val="00324350"/>
    <w:rsid w:val="003272A2"/>
    <w:rsid w:val="00330BBB"/>
    <w:rsid w:val="003464FA"/>
    <w:rsid w:val="00351E7E"/>
    <w:rsid w:val="00357BE9"/>
    <w:rsid w:val="003B56E9"/>
    <w:rsid w:val="003F6999"/>
    <w:rsid w:val="0040211E"/>
    <w:rsid w:val="004100D3"/>
    <w:rsid w:val="0045009B"/>
    <w:rsid w:val="004561AA"/>
    <w:rsid w:val="00484448"/>
    <w:rsid w:val="004979AE"/>
    <w:rsid w:val="004A5A3E"/>
    <w:rsid w:val="004A71F1"/>
    <w:rsid w:val="004B2CC0"/>
    <w:rsid w:val="004C4DF4"/>
    <w:rsid w:val="004C5ADD"/>
    <w:rsid w:val="004F78AF"/>
    <w:rsid w:val="00504771"/>
    <w:rsid w:val="005053E7"/>
    <w:rsid w:val="0052166C"/>
    <w:rsid w:val="00537680"/>
    <w:rsid w:val="00571058"/>
    <w:rsid w:val="0059265E"/>
    <w:rsid w:val="005967F9"/>
    <w:rsid w:val="005A090C"/>
    <w:rsid w:val="005A75A0"/>
    <w:rsid w:val="005F1CE7"/>
    <w:rsid w:val="00614CA4"/>
    <w:rsid w:val="0061610F"/>
    <w:rsid w:val="0062177C"/>
    <w:rsid w:val="006537C4"/>
    <w:rsid w:val="00654676"/>
    <w:rsid w:val="006736A0"/>
    <w:rsid w:val="006906C7"/>
    <w:rsid w:val="006A5BB9"/>
    <w:rsid w:val="006B45AA"/>
    <w:rsid w:val="006D3967"/>
    <w:rsid w:val="0071314E"/>
    <w:rsid w:val="00723038"/>
    <w:rsid w:val="00724590"/>
    <w:rsid w:val="00725075"/>
    <w:rsid w:val="00734B41"/>
    <w:rsid w:val="00737860"/>
    <w:rsid w:val="00740936"/>
    <w:rsid w:val="0074254F"/>
    <w:rsid w:val="00754A63"/>
    <w:rsid w:val="007554D8"/>
    <w:rsid w:val="007607B9"/>
    <w:rsid w:val="00774E22"/>
    <w:rsid w:val="00797073"/>
    <w:rsid w:val="007A3D07"/>
    <w:rsid w:val="007B6F7C"/>
    <w:rsid w:val="007C0B54"/>
    <w:rsid w:val="007C7239"/>
    <w:rsid w:val="007D0C29"/>
    <w:rsid w:val="007D5A90"/>
    <w:rsid w:val="007E317B"/>
    <w:rsid w:val="00804FB7"/>
    <w:rsid w:val="00815AD8"/>
    <w:rsid w:val="00834590"/>
    <w:rsid w:val="008566FF"/>
    <w:rsid w:val="00861737"/>
    <w:rsid w:val="00877D32"/>
    <w:rsid w:val="008A3BD5"/>
    <w:rsid w:val="008B2AA7"/>
    <w:rsid w:val="008C0B97"/>
    <w:rsid w:val="008C15AE"/>
    <w:rsid w:val="008D3543"/>
    <w:rsid w:val="008D53BC"/>
    <w:rsid w:val="008F0628"/>
    <w:rsid w:val="008F2964"/>
    <w:rsid w:val="008F3607"/>
    <w:rsid w:val="008F3E40"/>
    <w:rsid w:val="00903FAF"/>
    <w:rsid w:val="0090674A"/>
    <w:rsid w:val="00907880"/>
    <w:rsid w:val="009119CF"/>
    <w:rsid w:val="00930DA3"/>
    <w:rsid w:val="009365DA"/>
    <w:rsid w:val="0094329D"/>
    <w:rsid w:val="00950AF3"/>
    <w:rsid w:val="00992B57"/>
    <w:rsid w:val="009A4786"/>
    <w:rsid w:val="009A5562"/>
    <w:rsid w:val="009C2D13"/>
    <w:rsid w:val="00A15A9E"/>
    <w:rsid w:val="00A45989"/>
    <w:rsid w:val="00A5104F"/>
    <w:rsid w:val="00A6112E"/>
    <w:rsid w:val="00A71834"/>
    <w:rsid w:val="00A73128"/>
    <w:rsid w:val="00A74659"/>
    <w:rsid w:val="00A823DA"/>
    <w:rsid w:val="00A93D85"/>
    <w:rsid w:val="00A96EC1"/>
    <w:rsid w:val="00AA0E52"/>
    <w:rsid w:val="00AD5C68"/>
    <w:rsid w:val="00AE0C69"/>
    <w:rsid w:val="00AF1D75"/>
    <w:rsid w:val="00B12BB2"/>
    <w:rsid w:val="00B359CA"/>
    <w:rsid w:val="00B47EBE"/>
    <w:rsid w:val="00B63D6C"/>
    <w:rsid w:val="00B72AC4"/>
    <w:rsid w:val="00B92187"/>
    <w:rsid w:val="00B9723A"/>
    <w:rsid w:val="00BA14CD"/>
    <w:rsid w:val="00BC3292"/>
    <w:rsid w:val="00BC4A90"/>
    <w:rsid w:val="00BC69F7"/>
    <w:rsid w:val="00C14D79"/>
    <w:rsid w:val="00C14E6E"/>
    <w:rsid w:val="00C27D7D"/>
    <w:rsid w:val="00C446C2"/>
    <w:rsid w:val="00C446E5"/>
    <w:rsid w:val="00C45776"/>
    <w:rsid w:val="00C45CE0"/>
    <w:rsid w:val="00C90287"/>
    <w:rsid w:val="00CB5D58"/>
    <w:rsid w:val="00CC1E06"/>
    <w:rsid w:val="00CD3BA4"/>
    <w:rsid w:val="00CE38C0"/>
    <w:rsid w:val="00D2163C"/>
    <w:rsid w:val="00D46E46"/>
    <w:rsid w:val="00D51D11"/>
    <w:rsid w:val="00D56212"/>
    <w:rsid w:val="00D66442"/>
    <w:rsid w:val="00D67C3C"/>
    <w:rsid w:val="00D80F39"/>
    <w:rsid w:val="00D93B98"/>
    <w:rsid w:val="00D943F9"/>
    <w:rsid w:val="00DA62D2"/>
    <w:rsid w:val="00DB220B"/>
    <w:rsid w:val="00DB7AE8"/>
    <w:rsid w:val="00DE1DEB"/>
    <w:rsid w:val="00E0242E"/>
    <w:rsid w:val="00E043D3"/>
    <w:rsid w:val="00E23958"/>
    <w:rsid w:val="00E474E7"/>
    <w:rsid w:val="00E60651"/>
    <w:rsid w:val="00E72DBD"/>
    <w:rsid w:val="00E764E8"/>
    <w:rsid w:val="00E80D95"/>
    <w:rsid w:val="00E936FD"/>
    <w:rsid w:val="00EB2C30"/>
    <w:rsid w:val="00EC3B90"/>
    <w:rsid w:val="00F008B1"/>
    <w:rsid w:val="00F0256A"/>
    <w:rsid w:val="00F03A7E"/>
    <w:rsid w:val="00F1398A"/>
    <w:rsid w:val="00F805BA"/>
    <w:rsid w:val="00FA2BA3"/>
    <w:rsid w:val="00FD2CA1"/>
    <w:rsid w:val="00FF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7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D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432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4329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432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29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3D07"/>
    <w:pPr>
      <w:ind w:left="720"/>
      <w:contextualSpacing/>
    </w:pPr>
  </w:style>
  <w:style w:type="paragraph" w:customStyle="1" w:styleId="Default">
    <w:name w:val="Default"/>
    <w:rsid w:val="00950AF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9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Marto</dc:creator>
  <cp:lastModifiedBy>Valentinka</cp:lastModifiedBy>
  <cp:revision>25</cp:revision>
  <dcterms:created xsi:type="dcterms:W3CDTF">2010-11-25T16:37:00Z</dcterms:created>
  <dcterms:modified xsi:type="dcterms:W3CDTF">2011-11-21T22:01:00Z</dcterms:modified>
</cp:coreProperties>
</file>