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93" w:rsidRPr="00AD7232" w:rsidRDefault="00AD7232" w:rsidP="00EB7893">
      <w:pPr>
        <w:pStyle w:val="Header"/>
        <w:pBdr>
          <w:bottom w:val="thickThinSmallGap" w:sz="24" w:space="1" w:color="622423"/>
        </w:pBdr>
        <w:jc w:val="center"/>
        <w:rPr>
          <w:rFonts w:asciiTheme="minorHAnsi" w:eastAsia="Times New Roman" w:hAnsiTheme="minorHAnsi"/>
          <w:caps/>
          <w:szCs w:val="24"/>
          <w:lang w:val="bg-BG"/>
        </w:rPr>
      </w:pPr>
      <w:r w:rsidRPr="00AD7232">
        <w:rPr>
          <w:rFonts w:asciiTheme="minorHAnsi" w:eastAsia="Times New Roman" w:hAnsiTheme="minorHAnsi"/>
          <w:caps/>
          <w:szCs w:val="24"/>
          <w:lang w:val="bg-BG"/>
        </w:rPr>
        <w:t xml:space="preserve">Тема </w:t>
      </w:r>
      <w:r w:rsidR="00EB7893" w:rsidRPr="00AD7232">
        <w:rPr>
          <w:rFonts w:asciiTheme="minorHAnsi" w:eastAsia="Times New Roman" w:hAnsiTheme="minorHAnsi"/>
          <w:caps/>
          <w:szCs w:val="24"/>
          <w:lang w:val="en-US"/>
        </w:rPr>
        <w:t>6</w:t>
      </w:r>
      <w:r w:rsidRPr="00AD7232">
        <w:rPr>
          <w:rFonts w:asciiTheme="minorHAnsi" w:eastAsia="Times New Roman" w:hAnsiTheme="minorHAnsi"/>
          <w:caps/>
          <w:szCs w:val="24"/>
          <w:lang w:val="bg-BG"/>
        </w:rPr>
        <w:t xml:space="preserve">. </w:t>
      </w:r>
      <w:r w:rsidR="00EB7893" w:rsidRPr="00AD7232">
        <w:rPr>
          <w:rFonts w:asciiTheme="minorHAnsi" w:hAnsiTheme="minorHAnsi"/>
          <w:caps/>
          <w:szCs w:val="24"/>
          <w:lang w:val="bg-BG" w:eastAsia="ja-JP"/>
        </w:rPr>
        <w:t>финасиране с банкови кредити</w:t>
      </w:r>
    </w:p>
    <w:p w:rsidR="00EB7893" w:rsidRPr="00AD7232" w:rsidRDefault="00EB7893" w:rsidP="00EB7893">
      <w:pPr>
        <w:pStyle w:val="Header"/>
        <w:rPr>
          <w:rFonts w:asciiTheme="minorHAnsi" w:hAnsiTheme="minorHAnsi"/>
          <w:caps/>
          <w:szCs w:val="24"/>
          <w:lang w:val="bg-BG"/>
        </w:rPr>
      </w:pPr>
    </w:p>
    <w:p w:rsidR="00EB7893" w:rsidRPr="00AD7232" w:rsidRDefault="008D0DC2" w:rsidP="00AD7232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</w:t>
      </w:r>
      <w:r w:rsidR="00AD7232">
        <w:rPr>
          <w:sz w:val="24"/>
          <w:szCs w:val="24"/>
          <w:u w:val="single"/>
        </w:rPr>
        <w:t xml:space="preserve">1 </w:t>
      </w:r>
      <w:r w:rsidR="00EB7893" w:rsidRPr="00AD7232">
        <w:rPr>
          <w:sz w:val="24"/>
          <w:szCs w:val="24"/>
          <w:u w:val="single"/>
        </w:rPr>
        <w:t>Основни видове погасителни планове на банкови кредити</w:t>
      </w:r>
    </w:p>
    <w:p w:rsidR="00DA1F1D" w:rsidRDefault="00AD7232" w:rsidP="00B240CF">
      <w:pPr>
        <w:spacing w:after="0" w:line="360" w:lineRule="auto"/>
        <w:ind w:firstLine="45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73614E">
        <w:rPr>
          <w:sz w:val="24"/>
          <w:szCs w:val="24"/>
        </w:rPr>
        <w:t xml:space="preserve">възникване на кредитното </w:t>
      </w:r>
      <w:r w:rsidR="009F2F28">
        <w:rPr>
          <w:sz w:val="24"/>
          <w:szCs w:val="24"/>
        </w:rPr>
        <w:t>отношение з</w:t>
      </w:r>
      <w:r w:rsidR="00DA1F1D">
        <w:rPr>
          <w:sz w:val="24"/>
          <w:szCs w:val="24"/>
        </w:rPr>
        <w:t>а дебитора има две възможности за връщане на кредита. Изплащане на цялата сума по кредита, плюс начислените лихви еднократно</w:t>
      </w:r>
      <w:r w:rsidR="0073614E">
        <w:rPr>
          <w:sz w:val="24"/>
          <w:szCs w:val="24"/>
        </w:rPr>
        <w:t>,</w:t>
      </w:r>
      <w:r w:rsidR="00DA1F1D">
        <w:rPr>
          <w:sz w:val="24"/>
          <w:szCs w:val="24"/>
        </w:rPr>
        <w:t xml:space="preserve"> след определен период от време и изплащане на дължимата сума на части.</w:t>
      </w:r>
      <w:r w:rsidR="0073614E">
        <w:rPr>
          <w:sz w:val="24"/>
          <w:szCs w:val="24"/>
        </w:rPr>
        <w:t xml:space="preserve"> В стопанската практика по-</w:t>
      </w:r>
      <w:r w:rsidR="00B240CF">
        <w:rPr>
          <w:sz w:val="24"/>
          <w:szCs w:val="24"/>
        </w:rPr>
        <w:t xml:space="preserve">често срещаният начин за погасяване на кредитите е изплащането му на части – определени суми през еднакви интервали </w:t>
      </w:r>
      <w:r w:rsidR="0073614E">
        <w:rPr>
          <w:sz w:val="24"/>
          <w:szCs w:val="24"/>
        </w:rPr>
        <w:t>о</w:t>
      </w:r>
      <w:r w:rsidR="00B240CF">
        <w:rPr>
          <w:sz w:val="24"/>
          <w:szCs w:val="24"/>
        </w:rPr>
        <w:t>т време. За тази цел се съставят погасителни планове на кредитите. Те биват различни</w:t>
      </w:r>
      <w:r w:rsidR="0073614E">
        <w:rPr>
          <w:sz w:val="24"/>
          <w:szCs w:val="24"/>
        </w:rPr>
        <w:t xml:space="preserve"> видове</w:t>
      </w:r>
      <w:r w:rsidR="00B240CF">
        <w:rPr>
          <w:sz w:val="24"/>
          <w:szCs w:val="24"/>
        </w:rPr>
        <w:t xml:space="preserve"> в зависимост от вида на кредита. Дългосрочните заеми могат да се отнесат към едн</w:t>
      </w:r>
      <w:r w:rsidR="00782CA3">
        <w:rPr>
          <w:sz w:val="24"/>
          <w:szCs w:val="24"/>
        </w:rPr>
        <w:t>а от следните две големи групи:</w:t>
      </w:r>
    </w:p>
    <w:p w:rsidR="00782CA3" w:rsidRDefault="00782CA3" w:rsidP="00782C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Необлигационни заеми. Това са заеми, при които кредиторът предоставя парични средства на дебитора на базата на сключен договор;</w:t>
      </w:r>
    </w:p>
    <w:p w:rsidR="00782CA3" w:rsidRPr="00782CA3" w:rsidRDefault="00782CA3" w:rsidP="00782C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Облигационни заеми. Това са заеми, при които заеманата сума се формира чрез емитирането и продажбата на облигации от дебитора. Всеки, закупил една или повече облигации става кредитора на </w:t>
      </w:r>
      <w:proofErr w:type="spellStart"/>
      <w:r>
        <w:rPr>
          <w:sz w:val="24"/>
          <w:szCs w:val="24"/>
        </w:rPr>
        <w:t>емитента</w:t>
      </w:r>
      <w:proofErr w:type="spellEnd"/>
      <w:r w:rsidR="009F70B6" w:rsidRPr="009F70B6">
        <w:rPr>
          <w:sz w:val="24"/>
          <w:szCs w:val="24"/>
        </w:rPr>
        <w:t xml:space="preserve"> [2,4</w:t>
      </w:r>
      <w:r w:rsidR="006B5FCB">
        <w:rPr>
          <w:sz w:val="24"/>
          <w:szCs w:val="24"/>
        </w:rPr>
        <w:t>,</w:t>
      </w:r>
      <w:r w:rsidR="006B5FCB" w:rsidRPr="006B5FCB">
        <w:rPr>
          <w:sz w:val="24"/>
          <w:szCs w:val="24"/>
        </w:rPr>
        <w:t>11</w:t>
      </w:r>
      <w:r w:rsidR="009F70B6" w:rsidRPr="009F70B6">
        <w:rPr>
          <w:sz w:val="24"/>
          <w:szCs w:val="24"/>
        </w:rPr>
        <w:t>]</w:t>
      </w:r>
      <w:r>
        <w:rPr>
          <w:sz w:val="24"/>
          <w:szCs w:val="24"/>
        </w:rPr>
        <w:t xml:space="preserve">. </w:t>
      </w:r>
    </w:p>
    <w:p w:rsidR="00EB7893" w:rsidRPr="00AD7232" w:rsidRDefault="00EB7893" w:rsidP="00B240CF">
      <w:pPr>
        <w:spacing w:after="0" w:line="360" w:lineRule="auto"/>
        <w:ind w:firstLine="454"/>
        <w:jc w:val="both"/>
        <w:rPr>
          <w:sz w:val="24"/>
          <w:szCs w:val="24"/>
        </w:rPr>
      </w:pPr>
      <w:r w:rsidRPr="00AD7232">
        <w:rPr>
          <w:sz w:val="24"/>
          <w:szCs w:val="24"/>
        </w:rPr>
        <w:t xml:space="preserve">С цел да се илюстрират представените теоретични постановки относно технологията на </w:t>
      </w:r>
      <w:r w:rsidRPr="00AD7232">
        <w:rPr>
          <w:sz w:val="24"/>
          <w:szCs w:val="24"/>
          <w:lang w:eastAsia="ja-JP"/>
        </w:rPr>
        <w:t xml:space="preserve">финансиране с банкови кредити </w:t>
      </w:r>
      <w:r w:rsidRPr="00AD7232">
        <w:rPr>
          <w:sz w:val="24"/>
          <w:szCs w:val="24"/>
        </w:rPr>
        <w:t>са показани основните видове погасителни панове на банкови кредити.</w:t>
      </w:r>
    </w:p>
    <w:p w:rsidR="00EB7893" w:rsidRPr="00AD7232" w:rsidRDefault="00EB7893" w:rsidP="00B240CF">
      <w:pPr>
        <w:spacing w:after="0" w:line="360" w:lineRule="auto"/>
        <w:rPr>
          <w:sz w:val="24"/>
          <w:szCs w:val="24"/>
        </w:rPr>
      </w:pPr>
    </w:p>
    <w:p w:rsidR="00EB7893" w:rsidRPr="00AD7232" w:rsidRDefault="00EB7893" w:rsidP="00B240CF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AD7232">
        <w:rPr>
          <w:b/>
          <w:sz w:val="24"/>
          <w:szCs w:val="24"/>
        </w:rPr>
        <w:t>ПРИМЕР 1. Етапи на разработване на погасителен план на банков кредит с еднакви погашения (</w:t>
      </w:r>
      <w:proofErr w:type="spellStart"/>
      <w:r w:rsidRPr="00AD7232">
        <w:rPr>
          <w:b/>
          <w:sz w:val="24"/>
          <w:szCs w:val="24"/>
        </w:rPr>
        <w:t>рати</w:t>
      </w:r>
      <w:proofErr w:type="spellEnd"/>
      <w:r w:rsidRPr="00AD7232">
        <w:rPr>
          <w:b/>
          <w:sz w:val="24"/>
          <w:szCs w:val="24"/>
        </w:rPr>
        <w:t>).</w:t>
      </w:r>
    </w:p>
    <w:p w:rsidR="00EB7893" w:rsidRPr="00AD7232" w:rsidRDefault="00EB7893" w:rsidP="00B240CF">
      <w:pPr>
        <w:spacing w:after="0" w:line="360" w:lineRule="auto"/>
        <w:ind w:firstLine="708"/>
        <w:jc w:val="both"/>
        <w:rPr>
          <w:b/>
          <w:sz w:val="24"/>
          <w:szCs w:val="24"/>
        </w:rPr>
      </w:pPr>
    </w:p>
    <w:p w:rsidR="00EB7893" w:rsidRPr="00AD7232" w:rsidRDefault="00EB7893" w:rsidP="00B240CF">
      <w:pPr>
        <w:numPr>
          <w:ilvl w:val="0"/>
          <w:numId w:val="1"/>
        </w:numPr>
        <w:suppressAutoHyphens/>
        <w:spacing w:after="0" w:line="360" w:lineRule="auto"/>
        <w:jc w:val="both"/>
        <w:rPr>
          <w:sz w:val="24"/>
          <w:szCs w:val="24"/>
        </w:rPr>
      </w:pPr>
      <w:r w:rsidRPr="00AD7232">
        <w:rPr>
          <w:sz w:val="24"/>
          <w:szCs w:val="24"/>
        </w:rPr>
        <w:t>Намира се размерът на погашението, като общата сума на кредита се разделя на броя на лихвените периоди.</w:t>
      </w:r>
    </w:p>
    <w:p w:rsidR="00EB7893" w:rsidRPr="00AD7232" w:rsidRDefault="00EB7893" w:rsidP="00EB7893">
      <w:pPr>
        <w:ind w:left="2124" w:firstLine="708"/>
        <w:jc w:val="both"/>
        <w:rPr>
          <w:b/>
          <w:sz w:val="24"/>
          <w:szCs w:val="24"/>
        </w:rPr>
      </w:pPr>
    </w:p>
    <w:p w:rsidR="00EB7893" w:rsidRPr="00AD7232" w:rsidRDefault="00EB7893" w:rsidP="00EB7893">
      <w:pPr>
        <w:ind w:left="2124" w:firstLine="708"/>
        <w:jc w:val="both"/>
        <w:rPr>
          <w:b/>
          <w:sz w:val="24"/>
          <w:szCs w:val="24"/>
        </w:rPr>
      </w:pPr>
      <w:r w:rsidRPr="00AD7232">
        <w:rPr>
          <w:b/>
          <w:position w:val="-24"/>
          <w:sz w:val="24"/>
          <w:szCs w:val="24"/>
        </w:rPr>
        <w:object w:dxaOrig="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0.75pt" o:ole="">
            <v:imagedata r:id="rId5" o:title=""/>
          </v:shape>
          <o:OLEObject Type="Embed" ProgID="Equation.3" ShapeID="_x0000_i1025" DrawAspect="Content" ObjectID="_1489322597" r:id="rId6"/>
        </w:object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sz w:val="24"/>
          <w:szCs w:val="24"/>
        </w:rPr>
        <w:t>(1)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Където: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4"/>
          <w:lang w:val="bg-BG"/>
        </w:rPr>
        <w:object w:dxaOrig="240" w:dyaOrig="260">
          <v:shape id="_x0000_i1026" type="#_x0000_t75" style="width:12pt;height:12.75pt" o:ole="">
            <v:imagedata r:id="rId7" o:title=""/>
          </v:shape>
          <o:OLEObject Type="Embed" ProgID="Equation.3" ShapeID="_x0000_i1026" DrawAspect="Content" ObjectID="_1489322598" r:id="rId8"/>
        </w:object>
      </w:r>
      <w:r w:rsidRPr="00AD7232">
        <w:rPr>
          <w:rFonts w:asciiTheme="minorHAnsi" w:hAnsiTheme="minorHAnsi"/>
          <w:lang w:val="bg-BG"/>
        </w:rPr>
        <w:t>е размерът на погашението;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4"/>
          <w:lang w:val="bg-BG"/>
        </w:rPr>
        <w:object w:dxaOrig="260" w:dyaOrig="260">
          <v:shape id="_x0000_i1027" type="#_x0000_t75" style="width:12.75pt;height:12.75pt" o:ole="">
            <v:imagedata r:id="rId9" o:title=""/>
          </v:shape>
          <o:OLEObject Type="Embed" ProgID="Equation.3" ShapeID="_x0000_i1027" DrawAspect="Content" ObjectID="_1489322599" r:id="rId10"/>
        </w:object>
      </w:r>
      <w:r w:rsidRPr="00AD7232">
        <w:rPr>
          <w:rFonts w:asciiTheme="minorHAnsi" w:hAnsiTheme="minorHAnsi"/>
          <w:lang w:val="bg-BG"/>
        </w:rPr>
        <w:t>- размер на кредита;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6"/>
          <w:lang w:val="bg-BG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3" ShapeID="_x0000_i1028" DrawAspect="Content" ObjectID="_1489322600" r:id="rId12"/>
        </w:object>
      </w:r>
      <w:r w:rsidRPr="00AD7232">
        <w:rPr>
          <w:rFonts w:asciiTheme="minorHAnsi" w:hAnsiTheme="minorHAnsi"/>
          <w:lang w:val="bg-BG"/>
        </w:rPr>
        <w:t xml:space="preserve"> - брой на лихвените периоди.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23B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066" w:hanging="357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lastRenderedPageBreak/>
        <w:t>Изчисляват се остатъците от кредита за всеки лихвен период, като остатъка от предходен период се извади погашението.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spacing w:before="0" w:beforeAutospacing="0" w:after="0" w:afterAutospacing="0"/>
        <w:ind w:left="2124"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1320" w:dyaOrig="360">
          <v:shape id="_x0000_i1029" type="#_x0000_t75" style="width:66pt;height:18pt" o:ole="">
            <v:imagedata r:id="rId13" o:title=""/>
          </v:shape>
          <o:OLEObject Type="Embed" ProgID="Equation.3" ShapeID="_x0000_i1029" DrawAspect="Content" ObjectID="_1489322601" r:id="rId14"/>
        </w:object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  <w:t>(2)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Където: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279" w:dyaOrig="360">
          <v:shape id="_x0000_i1030" type="#_x0000_t75" style="width:14.25pt;height:18pt" o:ole="">
            <v:imagedata r:id="rId15" o:title=""/>
          </v:shape>
          <o:OLEObject Type="Embed" ProgID="Equation.3" ShapeID="_x0000_i1030" DrawAspect="Content" ObjectID="_1489322602" r:id="rId16"/>
        </w:object>
      </w:r>
      <w:r w:rsidRPr="00AD7232">
        <w:rPr>
          <w:rFonts w:asciiTheme="minorHAnsi" w:hAnsiTheme="minorHAnsi"/>
          <w:lang w:val="bg-BG"/>
        </w:rPr>
        <w:t>е остатъкът за съответния период;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Изчислява се размерът на лихвите за всеки лихвен период.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spacing w:before="0" w:beforeAutospacing="0" w:after="0" w:afterAutospacing="0"/>
        <w:ind w:left="2124"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24"/>
          <w:lang w:val="bg-BG"/>
        </w:rPr>
        <w:object w:dxaOrig="1020" w:dyaOrig="639">
          <v:shape id="_x0000_i1031" type="#_x0000_t75" style="width:51pt;height:32.25pt" o:ole="">
            <v:imagedata r:id="rId17" o:title=""/>
          </v:shape>
          <o:OLEObject Type="Embed" ProgID="Equation.3" ShapeID="_x0000_i1031" DrawAspect="Content" ObjectID="_1489322603" r:id="rId18"/>
        </w:object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  <w:t>(3)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Където: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260" w:dyaOrig="360">
          <v:shape id="_x0000_i1032" type="#_x0000_t75" style="width:12.75pt;height:18pt" o:ole="">
            <v:imagedata r:id="rId19" o:title=""/>
          </v:shape>
          <o:OLEObject Type="Embed" ProgID="Equation.3" ShapeID="_x0000_i1032" DrawAspect="Content" ObjectID="_1489322604" r:id="rId20"/>
        </w:object>
      </w:r>
      <w:r w:rsidRPr="00AD7232">
        <w:rPr>
          <w:rFonts w:asciiTheme="minorHAnsi" w:hAnsiTheme="minorHAnsi"/>
          <w:lang w:val="bg-BG"/>
        </w:rPr>
        <w:t>е размерът на лихвата са съответния период;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b/>
          <w:caps/>
          <w:lang w:val="bg-BG"/>
        </w:rPr>
      </w:pPr>
      <w:r w:rsidRPr="00AD7232">
        <w:rPr>
          <w:rFonts w:asciiTheme="minorHAnsi" w:hAnsiTheme="minorHAnsi"/>
          <w:b/>
          <w:caps/>
          <w:position w:val="-10"/>
          <w:lang w:val="bg-BG"/>
        </w:rPr>
        <w:object w:dxaOrig="240" w:dyaOrig="260">
          <v:shape id="_x0000_i1033" type="#_x0000_t75" style="width:12pt;height:12.75pt" o:ole="">
            <v:imagedata r:id="rId21" o:title=""/>
          </v:shape>
          <o:OLEObject Type="Embed" ProgID="Equation.3" ShapeID="_x0000_i1033" DrawAspect="Content" ObjectID="_1489322605" r:id="rId22"/>
        </w:object>
      </w:r>
      <w:r w:rsidRPr="00AD7232">
        <w:rPr>
          <w:rFonts w:asciiTheme="minorHAnsi" w:hAnsiTheme="minorHAnsi"/>
          <w:b/>
          <w:caps/>
          <w:lang w:val="bg-BG"/>
        </w:rPr>
        <w:t xml:space="preserve">- </w:t>
      </w:r>
      <w:r w:rsidRPr="00AD7232">
        <w:rPr>
          <w:rFonts w:asciiTheme="minorHAnsi" w:hAnsiTheme="minorHAnsi"/>
          <w:lang w:val="bg-BG"/>
        </w:rPr>
        <w:t>нормата на нарастване на капитала.</w:t>
      </w:r>
    </w:p>
    <w:p w:rsidR="00EB7893" w:rsidRPr="00AD7232" w:rsidRDefault="00EB7893" w:rsidP="00EB7893">
      <w:pPr>
        <w:ind w:firstLine="708"/>
        <w:jc w:val="both"/>
        <w:rPr>
          <w:b/>
          <w:caps/>
          <w:sz w:val="24"/>
          <w:szCs w:val="24"/>
        </w:rPr>
      </w:pPr>
    </w:p>
    <w:p w:rsidR="00EB7893" w:rsidRPr="00AD7232" w:rsidRDefault="00EB7893" w:rsidP="00EB789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 xml:space="preserve">Пресмятане на </w:t>
      </w:r>
      <w:proofErr w:type="spellStart"/>
      <w:r w:rsidRPr="00AD7232">
        <w:rPr>
          <w:rFonts w:asciiTheme="minorHAnsi" w:hAnsiTheme="minorHAnsi"/>
          <w:lang w:val="bg-BG"/>
        </w:rPr>
        <w:t>анюитета</w:t>
      </w:r>
      <w:proofErr w:type="spellEnd"/>
      <w:r w:rsidRPr="00AD7232">
        <w:rPr>
          <w:rFonts w:asciiTheme="minorHAnsi" w:hAnsiTheme="minorHAnsi"/>
          <w:lang w:val="bg-BG"/>
        </w:rPr>
        <w:t xml:space="preserve"> за всеки лихвен период.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spacing w:before="0" w:beforeAutospacing="0" w:after="0" w:afterAutospacing="0"/>
        <w:ind w:left="2832"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1140" w:dyaOrig="360">
          <v:shape id="_x0000_i1034" type="#_x0000_t75" style="width:57pt;height:18pt" o:ole="">
            <v:imagedata r:id="rId23" o:title=""/>
          </v:shape>
          <o:OLEObject Type="Embed" ProgID="Equation.3" ShapeID="_x0000_i1034" DrawAspect="Content" ObjectID="_1489322606" r:id="rId24"/>
        </w:object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  <w:t>(4)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Където: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279" w:dyaOrig="360">
          <v:shape id="_x0000_i1035" type="#_x0000_t75" style="width:14.25pt;height:18pt" o:ole="">
            <v:imagedata r:id="rId25" o:title=""/>
          </v:shape>
          <o:OLEObject Type="Embed" ProgID="Equation.3" ShapeID="_x0000_i1035" DrawAspect="Content" ObjectID="_1489322607" r:id="rId26"/>
        </w:object>
      </w:r>
      <w:r w:rsidRPr="00AD7232">
        <w:rPr>
          <w:rFonts w:asciiTheme="minorHAnsi" w:hAnsiTheme="minorHAnsi"/>
          <w:lang w:val="bg-BG"/>
        </w:rPr>
        <w:t xml:space="preserve">е размерът на </w:t>
      </w:r>
      <w:proofErr w:type="spellStart"/>
      <w:r w:rsidRPr="00AD7232">
        <w:rPr>
          <w:rFonts w:asciiTheme="minorHAnsi" w:hAnsiTheme="minorHAnsi"/>
          <w:lang w:val="bg-BG"/>
        </w:rPr>
        <w:t>анюитета</w:t>
      </w:r>
      <w:proofErr w:type="spellEnd"/>
      <w:r w:rsidRPr="00AD7232">
        <w:rPr>
          <w:rFonts w:asciiTheme="minorHAnsi" w:hAnsiTheme="minorHAnsi"/>
          <w:lang w:val="bg-BG"/>
        </w:rPr>
        <w:t xml:space="preserve"> са съответния период;</w:t>
      </w:r>
    </w:p>
    <w:p w:rsidR="00EB7893" w:rsidRPr="00AD7232" w:rsidRDefault="00EB7893" w:rsidP="00EB7893">
      <w:pPr>
        <w:jc w:val="both"/>
        <w:rPr>
          <w:b/>
          <w:caps/>
          <w:sz w:val="24"/>
          <w:szCs w:val="24"/>
        </w:rPr>
      </w:pPr>
    </w:p>
    <w:p w:rsidR="00EB7893" w:rsidRPr="00AD7232" w:rsidRDefault="00EB7893" w:rsidP="00EB23B9">
      <w:pPr>
        <w:spacing w:after="0" w:line="360" w:lineRule="auto"/>
        <w:ind w:firstLine="708"/>
        <w:jc w:val="both"/>
        <w:rPr>
          <w:b/>
          <w:caps/>
          <w:sz w:val="24"/>
          <w:szCs w:val="24"/>
        </w:rPr>
      </w:pPr>
      <w:r w:rsidRPr="00AD7232">
        <w:rPr>
          <w:b/>
          <w:caps/>
          <w:sz w:val="24"/>
          <w:szCs w:val="24"/>
        </w:rPr>
        <w:t>Задача 1</w:t>
      </w:r>
    </w:p>
    <w:p w:rsidR="00EB7893" w:rsidRPr="00EB23B9" w:rsidRDefault="00EB7893" w:rsidP="00EB23B9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Необходимо е да се разработи погасителен план на кредит в размер на 150 000 лв. отпуснат при  9% годишна лихва. Срокът на кредита е 5 години, като трябва да бъде изплатен с еднакви погашения.</w:t>
      </w:r>
    </w:p>
    <w:p w:rsidR="00EB7893" w:rsidRPr="00AD7232" w:rsidRDefault="00EB7893" w:rsidP="00EB23B9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Theme="minorHAnsi" w:hAnsiTheme="minorHAnsi"/>
          <w:i/>
          <w:lang w:val="bg-BG"/>
        </w:rPr>
      </w:pPr>
      <w:r w:rsidRPr="00AD7232">
        <w:rPr>
          <w:rFonts w:asciiTheme="minorHAnsi" w:hAnsiTheme="minorHAnsi"/>
          <w:i/>
          <w:lang w:val="bg-BG"/>
        </w:rPr>
        <w:t xml:space="preserve">Решение </w:t>
      </w:r>
    </w:p>
    <w:p w:rsidR="00EB7893" w:rsidRPr="00AD7232" w:rsidRDefault="00EB7893" w:rsidP="00EB23B9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За да бъде решена задача 1 е необходимо данните от нея да бъдат заместени във съответните формули за различните етапи на съставянето на погасителния план.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/>
          <w:lang w:val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2"/>
        <w:gridCol w:w="1503"/>
        <w:gridCol w:w="1786"/>
        <w:gridCol w:w="1640"/>
        <w:gridCol w:w="1735"/>
        <w:gridCol w:w="1636"/>
      </w:tblGrid>
      <w:tr w:rsidR="00EB7893" w:rsidRPr="00AD7232" w:rsidTr="00EB23B9">
        <w:tc>
          <w:tcPr>
            <w:tcW w:w="9242" w:type="dxa"/>
            <w:gridSpan w:val="6"/>
          </w:tcPr>
          <w:p w:rsidR="00EB7893" w:rsidRPr="00AD7232" w:rsidRDefault="00EB7893" w:rsidP="00993369">
            <w:pPr>
              <w:pStyle w:val="NoSpacing"/>
              <w:jc w:val="center"/>
              <w:rPr>
                <w:rFonts w:asciiTheme="minorHAnsi" w:hAnsiTheme="minorHAnsi"/>
                <w:szCs w:val="24"/>
                <w:lang w:val="bg-BG"/>
              </w:rPr>
            </w:pPr>
            <w:r w:rsidRPr="00AD7232">
              <w:rPr>
                <w:rFonts w:asciiTheme="minorHAnsi" w:hAnsiTheme="minorHAnsi"/>
                <w:szCs w:val="24"/>
                <w:lang w:val="bg-BG"/>
              </w:rPr>
              <w:t>Погасителен план</w:t>
            </w:r>
          </w:p>
        </w:tc>
      </w:tr>
      <w:tr w:rsidR="00EB7893" w:rsidRPr="00AD7232" w:rsidTr="00EB23B9">
        <w:tc>
          <w:tcPr>
            <w:tcW w:w="942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Г</w:t>
            </w:r>
            <w:r w:rsidRPr="00AD7232">
              <w:rPr>
                <w:rStyle w:val="SubtleEmphasis"/>
                <w:rFonts w:asciiTheme="minorHAnsi" w:hAnsiTheme="minorHAnsi"/>
                <w:color w:val="auto"/>
              </w:rPr>
              <w:t>о</w:t>
            </w:r>
            <w:proofErr w:type="spellStart"/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дина</w:t>
            </w:r>
            <w:proofErr w:type="spellEnd"/>
          </w:p>
        </w:tc>
        <w:tc>
          <w:tcPr>
            <w:tcW w:w="1503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Остатък в началото на периода</w:t>
            </w:r>
          </w:p>
        </w:tc>
        <w:tc>
          <w:tcPr>
            <w:tcW w:w="178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Лихва за съответния период</w:t>
            </w:r>
          </w:p>
        </w:tc>
        <w:tc>
          <w:tcPr>
            <w:tcW w:w="1640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Погашение</w:t>
            </w:r>
          </w:p>
        </w:tc>
        <w:tc>
          <w:tcPr>
            <w:tcW w:w="1735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proofErr w:type="spellStart"/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Анюитет</w:t>
            </w:r>
            <w:proofErr w:type="spellEnd"/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 xml:space="preserve"> в края на годината</w:t>
            </w:r>
          </w:p>
        </w:tc>
        <w:tc>
          <w:tcPr>
            <w:tcW w:w="163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Остатък в края на периода</w:t>
            </w:r>
          </w:p>
        </w:tc>
      </w:tr>
      <w:tr w:rsidR="00EB7893" w:rsidRPr="00AD7232" w:rsidTr="00EB23B9">
        <w:tc>
          <w:tcPr>
            <w:tcW w:w="942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1.</w:t>
            </w:r>
          </w:p>
        </w:tc>
        <w:tc>
          <w:tcPr>
            <w:tcW w:w="1503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150 000</w:t>
            </w:r>
          </w:p>
        </w:tc>
        <w:tc>
          <w:tcPr>
            <w:tcW w:w="178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13 500</w:t>
            </w:r>
          </w:p>
        </w:tc>
        <w:tc>
          <w:tcPr>
            <w:tcW w:w="1640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30 000</w:t>
            </w:r>
          </w:p>
        </w:tc>
        <w:tc>
          <w:tcPr>
            <w:tcW w:w="1735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43 500</w:t>
            </w:r>
          </w:p>
        </w:tc>
        <w:tc>
          <w:tcPr>
            <w:tcW w:w="163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120 000</w:t>
            </w:r>
          </w:p>
        </w:tc>
      </w:tr>
      <w:tr w:rsidR="00EB7893" w:rsidRPr="00AD7232" w:rsidTr="00EB23B9">
        <w:tc>
          <w:tcPr>
            <w:tcW w:w="942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2.</w:t>
            </w:r>
          </w:p>
        </w:tc>
        <w:tc>
          <w:tcPr>
            <w:tcW w:w="1503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120 000</w:t>
            </w:r>
          </w:p>
        </w:tc>
        <w:tc>
          <w:tcPr>
            <w:tcW w:w="178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10 800</w:t>
            </w:r>
          </w:p>
        </w:tc>
        <w:tc>
          <w:tcPr>
            <w:tcW w:w="1640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30 000</w:t>
            </w:r>
          </w:p>
        </w:tc>
        <w:tc>
          <w:tcPr>
            <w:tcW w:w="1735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40 800</w:t>
            </w:r>
          </w:p>
        </w:tc>
        <w:tc>
          <w:tcPr>
            <w:tcW w:w="163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90 000</w:t>
            </w:r>
          </w:p>
        </w:tc>
      </w:tr>
      <w:tr w:rsidR="00EB7893" w:rsidRPr="00AD7232" w:rsidTr="00EB23B9">
        <w:tc>
          <w:tcPr>
            <w:tcW w:w="942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3.</w:t>
            </w:r>
          </w:p>
        </w:tc>
        <w:tc>
          <w:tcPr>
            <w:tcW w:w="1503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90 000</w:t>
            </w:r>
          </w:p>
        </w:tc>
        <w:tc>
          <w:tcPr>
            <w:tcW w:w="178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8 100</w:t>
            </w:r>
          </w:p>
        </w:tc>
        <w:tc>
          <w:tcPr>
            <w:tcW w:w="1640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30 000</w:t>
            </w:r>
          </w:p>
        </w:tc>
        <w:tc>
          <w:tcPr>
            <w:tcW w:w="1735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38 100</w:t>
            </w:r>
          </w:p>
        </w:tc>
        <w:tc>
          <w:tcPr>
            <w:tcW w:w="163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60 000</w:t>
            </w:r>
          </w:p>
        </w:tc>
      </w:tr>
      <w:tr w:rsidR="00EB7893" w:rsidRPr="00AD7232" w:rsidTr="00EB23B9">
        <w:tc>
          <w:tcPr>
            <w:tcW w:w="942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4.</w:t>
            </w:r>
          </w:p>
        </w:tc>
        <w:tc>
          <w:tcPr>
            <w:tcW w:w="1503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60 000</w:t>
            </w:r>
          </w:p>
        </w:tc>
        <w:tc>
          <w:tcPr>
            <w:tcW w:w="178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5 400</w:t>
            </w:r>
          </w:p>
        </w:tc>
        <w:tc>
          <w:tcPr>
            <w:tcW w:w="1640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30 000</w:t>
            </w:r>
          </w:p>
        </w:tc>
        <w:tc>
          <w:tcPr>
            <w:tcW w:w="1735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35 400</w:t>
            </w:r>
          </w:p>
        </w:tc>
        <w:tc>
          <w:tcPr>
            <w:tcW w:w="163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30 000</w:t>
            </w:r>
          </w:p>
        </w:tc>
      </w:tr>
      <w:tr w:rsidR="00EB7893" w:rsidRPr="00AD7232" w:rsidTr="00EB23B9">
        <w:tc>
          <w:tcPr>
            <w:tcW w:w="942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5.</w:t>
            </w:r>
          </w:p>
        </w:tc>
        <w:tc>
          <w:tcPr>
            <w:tcW w:w="1503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30 000</w:t>
            </w:r>
          </w:p>
        </w:tc>
        <w:tc>
          <w:tcPr>
            <w:tcW w:w="178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2 700</w:t>
            </w:r>
          </w:p>
        </w:tc>
        <w:tc>
          <w:tcPr>
            <w:tcW w:w="1640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30 000</w:t>
            </w:r>
          </w:p>
        </w:tc>
        <w:tc>
          <w:tcPr>
            <w:tcW w:w="1735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32 700</w:t>
            </w:r>
          </w:p>
        </w:tc>
        <w:tc>
          <w:tcPr>
            <w:tcW w:w="1636" w:type="dxa"/>
          </w:tcPr>
          <w:p w:rsidR="00EB7893" w:rsidRPr="00AD7232" w:rsidRDefault="00EB7893" w:rsidP="00993369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color w:val="auto"/>
                <w:lang w:val="bg-BG"/>
              </w:rPr>
            </w:pPr>
            <w:r w:rsidRPr="00AD7232">
              <w:rPr>
                <w:rStyle w:val="SubtleEmphasis"/>
                <w:rFonts w:asciiTheme="minorHAnsi" w:hAnsiTheme="minorHAnsi"/>
                <w:color w:val="auto"/>
                <w:lang w:val="bg-BG"/>
              </w:rPr>
              <w:t>0</w:t>
            </w:r>
          </w:p>
        </w:tc>
      </w:tr>
    </w:tbl>
    <w:p w:rsidR="00EB7893" w:rsidRPr="00AD7232" w:rsidRDefault="00EB7893" w:rsidP="00EB7893">
      <w:pPr>
        <w:ind w:firstLine="708"/>
        <w:jc w:val="both"/>
        <w:rPr>
          <w:b/>
          <w:sz w:val="24"/>
          <w:szCs w:val="24"/>
        </w:rPr>
      </w:pPr>
      <w:r w:rsidRPr="00AD7232">
        <w:rPr>
          <w:b/>
          <w:sz w:val="24"/>
          <w:szCs w:val="24"/>
        </w:rPr>
        <w:lastRenderedPageBreak/>
        <w:t xml:space="preserve">ПРИМЕР 2. Етапи на разработване на погасителен план на </w:t>
      </w:r>
      <w:proofErr w:type="spellStart"/>
      <w:r w:rsidRPr="00AD7232">
        <w:rPr>
          <w:b/>
          <w:sz w:val="24"/>
          <w:szCs w:val="24"/>
        </w:rPr>
        <w:t>анюитетни</w:t>
      </w:r>
      <w:proofErr w:type="spellEnd"/>
      <w:r w:rsidRPr="00AD7232">
        <w:rPr>
          <w:b/>
          <w:sz w:val="24"/>
          <w:szCs w:val="24"/>
        </w:rPr>
        <w:t xml:space="preserve"> банкови кредити.</w:t>
      </w:r>
    </w:p>
    <w:p w:rsidR="00EB7893" w:rsidRPr="00AD7232" w:rsidRDefault="00EB7893" w:rsidP="00EB7893">
      <w:pPr>
        <w:ind w:firstLine="708"/>
        <w:jc w:val="both"/>
        <w:rPr>
          <w:b/>
          <w:sz w:val="24"/>
          <w:szCs w:val="24"/>
        </w:rPr>
      </w:pPr>
    </w:p>
    <w:p w:rsidR="00EB7893" w:rsidRPr="00AD7232" w:rsidRDefault="00EB23B9" w:rsidP="00EB23B9">
      <w:pPr>
        <w:suppressAutoHyphens/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1. </w:t>
      </w:r>
      <w:r w:rsidR="00EB7893" w:rsidRPr="00AD7232">
        <w:rPr>
          <w:sz w:val="24"/>
          <w:szCs w:val="24"/>
        </w:rPr>
        <w:t xml:space="preserve">Намира се размерът на </w:t>
      </w:r>
      <w:proofErr w:type="spellStart"/>
      <w:r w:rsidR="00EB7893" w:rsidRPr="00AD7232">
        <w:rPr>
          <w:sz w:val="24"/>
          <w:szCs w:val="24"/>
        </w:rPr>
        <w:t>анюитета</w:t>
      </w:r>
      <w:proofErr w:type="spellEnd"/>
      <w:r w:rsidR="00EB7893" w:rsidRPr="00AD7232">
        <w:rPr>
          <w:sz w:val="24"/>
          <w:szCs w:val="24"/>
        </w:rPr>
        <w:t xml:space="preserve">, като за целта се прилага принципа на дългосрочните </w:t>
      </w:r>
      <w:r>
        <w:rPr>
          <w:sz w:val="24"/>
          <w:szCs w:val="24"/>
        </w:rPr>
        <w:t>финансови операции, който гласи</w:t>
      </w:r>
      <w:r w:rsidR="00EB7893" w:rsidRPr="00AD7232">
        <w:rPr>
          <w:sz w:val="24"/>
          <w:szCs w:val="24"/>
        </w:rPr>
        <w:t xml:space="preserve">, че сумата на заема трябва да бъде равна на сбора на всички </w:t>
      </w:r>
      <w:proofErr w:type="spellStart"/>
      <w:r w:rsidR="00EB7893" w:rsidRPr="00AD7232">
        <w:rPr>
          <w:sz w:val="24"/>
          <w:szCs w:val="24"/>
        </w:rPr>
        <w:t>анюитети</w:t>
      </w:r>
      <w:proofErr w:type="spellEnd"/>
      <w:r w:rsidR="00EB7893" w:rsidRPr="00AD7232">
        <w:rPr>
          <w:sz w:val="24"/>
          <w:szCs w:val="24"/>
        </w:rPr>
        <w:t xml:space="preserve"> направени от дебитора и </w:t>
      </w:r>
      <w:proofErr w:type="spellStart"/>
      <w:r w:rsidR="00EB7893" w:rsidRPr="00AD7232">
        <w:rPr>
          <w:sz w:val="24"/>
          <w:szCs w:val="24"/>
        </w:rPr>
        <w:t>дисконтирани</w:t>
      </w:r>
      <w:proofErr w:type="spellEnd"/>
      <w:r w:rsidR="00EB7893" w:rsidRPr="00AD7232">
        <w:rPr>
          <w:sz w:val="24"/>
          <w:szCs w:val="24"/>
        </w:rPr>
        <w:t xml:space="preserve"> към деня на получаване на кредита.</w:t>
      </w:r>
      <w:r w:rsidR="00EB7893" w:rsidRPr="00AD7232">
        <w:rPr>
          <w:b/>
          <w:sz w:val="24"/>
          <w:szCs w:val="24"/>
        </w:rPr>
        <w:t xml:space="preserve"> </w:t>
      </w:r>
    </w:p>
    <w:p w:rsidR="00EB7893" w:rsidRPr="00AD7232" w:rsidRDefault="00EB7893" w:rsidP="00EB23B9">
      <w:pPr>
        <w:spacing w:after="0" w:line="360" w:lineRule="auto"/>
        <w:jc w:val="both"/>
        <w:rPr>
          <w:b/>
          <w:sz w:val="24"/>
          <w:szCs w:val="24"/>
        </w:rPr>
      </w:pPr>
    </w:p>
    <w:p w:rsidR="00EB7893" w:rsidRPr="00AD7232" w:rsidRDefault="00EB7893" w:rsidP="00EB7893">
      <w:pPr>
        <w:ind w:left="2832" w:firstLine="708"/>
        <w:jc w:val="both"/>
        <w:rPr>
          <w:sz w:val="24"/>
          <w:szCs w:val="24"/>
        </w:rPr>
      </w:pPr>
      <w:r w:rsidRPr="00AD7232">
        <w:rPr>
          <w:b/>
          <w:position w:val="-24"/>
          <w:sz w:val="24"/>
          <w:szCs w:val="24"/>
        </w:rPr>
        <w:object w:dxaOrig="1460" w:dyaOrig="660">
          <v:shape id="_x0000_i1036" type="#_x0000_t75" style="width:72.75pt;height:33pt" o:ole="">
            <v:imagedata r:id="rId27" o:title=""/>
          </v:shape>
          <o:OLEObject Type="Embed" ProgID="Equation.3" ShapeID="_x0000_i1036" DrawAspect="Content" ObjectID="_1489322608" r:id="rId28"/>
        </w:object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b/>
          <w:sz w:val="24"/>
          <w:szCs w:val="24"/>
        </w:rPr>
        <w:tab/>
      </w:r>
      <w:r w:rsidRPr="00AD7232">
        <w:rPr>
          <w:sz w:val="24"/>
          <w:szCs w:val="24"/>
        </w:rPr>
        <w:t>(1)</w:t>
      </w:r>
    </w:p>
    <w:p w:rsidR="00EB7893" w:rsidRPr="00AD7232" w:rsidRDefault="00EB7893" w:rsidP="00EB7893">
      <w:pPr>
        <w:jc w:val="both"/>
        <w:rPr>
          <w:sz w:val="24"/>
          <w:szCs w:val="24"/>
        </w:rPr>
      </w:pPr>
      <w:r w:rsidRPr="00AD7232">
        <w:rPr>
          <w:sz w:val="24"/>
          <w:szCs w:val="24"/>
        </w:rPr>
        <w:t>Където: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4"/>
          <w:lang w:val="bg-BG"/>
        </w:rPr>
        <w:object w:dxaOrig="240" w:dyaOrig="260">
          <v:shape id="_x0000_i1037" type="#_x0000_t75" style="width:12pt;height:12.75pt" o:ole="">
            <v:imagedata r:id="rId29" o:title=""/>
          </v:shape>
          <o:OLEObject Type="Embed" ProgID="Equation.3" ShapeID="_x0000_i1037" DrawAspect="Content" ObjectID="_1489322609" r:id="rId30"/>
        </w:object>
      </w:r>
      <w:r w:rsidRPr="00AD7232">
        <w:rPr>
          <w:rFonts w:asciiTheme="minorHAnsi" w:hAnsiTheme="minorHAnsi"/>
          <w:lang w:val="bg-BG"/>
        </w:rPr>
        <w:t xml:space="preserve">е размерът на </w:t>
      </w:r>
      <w:proofErr w:type="spellStart"/>
      <w:r w:rsidRPr="00AD7232">
        <w:rPr>
          <w:rFonts w:asciiTheme="minorHAnsi" w:hAnsiTheme="minorHAnsi"/>
          <w:lang w:val="bg-BG"/>
        </w:rPr>
        <w:t>анюитета</w:t>
      </w:r>
      <w:proofErr w:type="spellEnd"/>
      <w:r w:rsidRPr="00AD7232">
        <w:rPr>
          <w:rFonts w:asciiTheme="minorHAnsi" w:hAnsiTheme="minorHAnsi"/>
          <w:lang w:val="bg-BG"/>
        </w:rPr>
        <w:t>;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4"/>
          <w:lang w:val="bg-BG"/>
        </w:rPr>
        <w:object w:dxaOrig="180" w:dyaOrig="200">
          <v:shape id="_x0000_i1038" type="#_x0000_t75" style="width:9pt;height:9.75pt" o:ole="">
            <v:imagedata r:id="rId31" o:title=""/>
          </v:shape>
          <o:OLEObject Type="Embed" ProgID="Equation.3" ShapeID="_x0000_i1038" DrawAspect="Content" ObjectID="_1489322610" r:id="rId32"/>
        </w:object>
      </w:r>
      <w:r w:rsidRPr="00AD7232">
        <w:rPr>
          <w:rFonts w:asciiTheme="minorHAnsi" w:hAnsiTheme="minorHAnsi"/>
          <w:lang w:val="bg-BG"/>
        </w:rPr>
        <w:t xml:space="preserve">- нормата на </w:t>
      </w:r>
      <w:proofErr w:type="spellStart"/>
      <w:r w:rsidRPr="00AD7232">
        <w:rPr>
          <w:rFonts w:asciiTheme="minorHAnsi" w:hAnsiTheme="minorHAnsi"/>
          <w:lang w:val="bg-BG"/>
        </w:rPr>
        <w:t>дисконтиране</w:t>
      </w:r>
      <w:proofErr w:type="spellEnd"/>
      <w:r w:rsidRPr="00AD7232">
        <w:rPr>
          <w:rFonts w:asciiTheme="minorHAnsi" w:hAnsiTheme="minorHAnsi"/>
          <w:lang w:val="bg-BG"/>
        </w:rPr>
        <w:t>;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30"/>
          <w:lang w:val="bg-BG"/>
        </w:rPr>
        <w:object w:dxaOrig="920" w:dyaOrig="720">
          <v:shape id="_x0000_i1039" type="#_x0000_t75" style="width:45.75pt;height:36pt" o:ole="">
            <v:imagedata r:id="rId33" o:title=""/>
          </v:shape>
          <o:OLEObject Type="Embed" ProgID="Equation.3" ShapeID="_x0000_i1039" DrawAspect="Content" ObjectID="_1489322611" r:id="rId34"/>
        </w:object>
      </w:r>
      <w:r w:rsidRPr="00AD7232">
        <w:rPr>
          <w:rFonts w:asciiTheme="minorHAnsi" w:hAnsiTheme="minorHAnsi"/>
          <w:lang w:val="bg-BG"/>
        </w:rPr>
        <w:t xml:space="preserve"> - </w:t>
      </w:r>
      <w:proofErr w:type="spellStart"/>
      <w:r w:rsidRPr="00AD7232">
        <w:rPr>
          <w:rFonts w:asciiTheme="minorHAnsi" w:hAnsiTheme="minorHAnsi"/>
          <w:lang w:val="bg-BG"/>
        </w:rPr>
        <w:t>анюитетен</w:t>
      </w:r>
      <w:proofErr w:type="spellEnd"/>
      <w:r w:rsidRPr="00AD7232">
        <w:rPr>
          <w:rFonts w:asciiTheme="minorHAnsi" w:hAnsiTheme="minorHAnsi"/>
          <w:lang w:val="bg-BG"/>
        </w:rPr>
        <w:t xml:space="preserve"> фактор.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23B9" w:rsidP="00EB23B9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2. </w:t>
      </w:r>
      <w:r w:rsidR="00EB7893" w:rsidRPr="00AD7232">
        <w:rPr>
          <w:rFonts w:asciiTheme="minorHAnsi" w:hAnsiTheme="minorHAnsi"/>
          <w:lang w:val="bg-BG"/>
        </w:rPr>
        <w:t>Изчисляват се остатъците от кредита за всеки лихвен период, като остатъка от предходен период се извади погашението.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spacing w:before="0" w:beforeAutospacing="0" w:after="0" w:afterAutospacing="0"/>
        <w:ind w:left="2124"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1460" w:dyaOrig="360">
          <v:shape id="_x0000_i1040" type="#_x0000_t75" style="width:72.75pt;height:18pt" o:ole="">
            <v:imagedata r:id="rId35" o:title=""/>
          </v:shape>
          <o:OLEObject Type="Embed" ProgID="Equation.3" ShapeID="_x0000_i1040" DrawAspect="Content" ObjectID="_1489322612" r:id="rId36"/>
        </w:object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  <w:t xml:space="preserve">      (2)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Където: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279" w:dyaOrig="360">
          <v:shape id="_x0000_i1041" type="#_x0000_t75" style="width:14.25pt;height:18pt" o:ole="">
            <v:imagedata r:id="rId15" o:title=""/>
          </v:shape>
          <o:OLEObject Type="Embed" ProgID="Equation.3" ShapeID="_x0000_i1041" DrawAspect="Content" ObjectID="_1489322613" r:id="rId37"/>
        </w:object>
      </w:r>
      <w:r w:rsidRPr="00AD7232">
        <w:rPr>
          <w:rFonts w:asciiTheme="minorHAnsi" w:hAnsiTheme="minorHAnsi"/>
          <w:lang w:val="bg-BG"/>
        </w:rPr>
        <w:t>е остатъкът за съответния период;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</w:p>
    <w:p w:rsidR="00EB7893" w:rsidRPr="00AD7232" w:rsidRDefault="00EB23B9" w:rsidP="00EB23B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3. </w:t>
      </w:r>
      <w:r w:rsidR="00EB7893" w:rsidRPr="00AD7232">
        <w:rPr>
          <w:rFonts w:asciiTheme="minorHAnsi" w:hAnsiTheme="minorHAnsi"/>
          <w:lang w:val="bg-BG"/>
        </w:rPr>
        <w:t>Изчислява се размерът на лихвите за всеки лихвен период.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spacing w:before="0" w:beforeAutospacing="0" w:after="0" w:afterAutospacing="0"/>
        <w:ind w:left="2124"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24"/>
          <w:lang w:val="bg-BG"/>
        </w:rPr>
        <w:object w:dxaOrig="1020" w:dyaOrig="639">
          <v:shape id="_x0000_i1042" type="#_x0000_t75" style="width:51pt;height:32.25pt" o:ole="">
            <v:imagedata r:id="rId17" o:title=""/>
          </v:shape>
          <o:OLEObject Type="Embed" ProgID="Equation.3" ShapeID="_x0000_i1042" DrawAspect="Content" ObjectID="_1489322614" r:id="rId38"/>
        </w:object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  <w:t>(3)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Където: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260" w:dyaOrig="360">
          <v:shape id="_x0000_i1043" type="#_x0000_t75" style="width:12.75pt;height:18pt" o:ole="">
            <v:imagedata r:id="rId19" o:title=""/>
          </v:shape>
          <o:OLEObject Type="Embed" ProgID="Equation.3" ShapeID="_x0000_i1043" DrawAspect="Content" ObjectID="_1489322615" r:id="rId39"/>
        </w:object>
      </w:r>
      <w:r w:rsidRPr="00AD7232">
        <w:rPr>
          <w:rFonts w:asciiTheme="minorHAnsi" w:hAnsiTheme="minorHAnsi"/>
          <w:lang w:val="bg-BG"/>
        </w:rPr>
        <w:t>е размерът на лихвата са съответния период;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b/>
          <w:caps/>
          <w:lang w:val="bg-BG"/>
        </w:rPr>
      </w:pPr>
      <w:r w:rsidRPr="00AD7232">
        <w:rPr>
          <w:rFonts w:asciiTheme="minorHAnsi" w:hAnsiTheme="minorHAnsi"/>
          <w:b/>
          <w:caps/>
          <w:position w:val="-10"/>
          <w:lang w:val="bg-BG"/>
        </w:rPr>
        <w:object w:dxaOrig="240" w:dyaOrig="260">
          <v:shape id="_x0000_i1044" type="#_x0000_t75" style="width:12pt;height:12.75pt" o:ole="">
            <v:imagedata r:id="rId21" o:title=""/>
          </v:shape>
          <o:OLEObject Type="Embed" ProgID="Equation.3" ShapeID="_x0000_i1044" DrawAspect="Content" ObjectID="_1489322616" r:id="rId40"/>
        </w:object>
      </w:r>
      <w:r w:rsidRPr="00AD7232">
        <w:rPr>
          <w:rFonts w:asciiTheme="minorHAnsi" w:hAnsiTheme="minorHAnsi"/>
          <w:b/>
          <w:caps/>
          <w:lang w:val="bg-BG"/>
        </w:rPr>
        <w:t xml:space="preserve">- </w:t>
      </w:r>
      <w:r w:rsidRPr="00AD7232">
        <w:rPr>
          <w:rFonts w:asciiTheme="minorHAnsi" w:hAnsiTheme="minorHAnsi"/>
          <w:lang w:val="bg-BG"/>
        </w:rPr>
        <w:t>нормата на нарастване на капитала.</w:t>
      </w:r>
    </w:p>
    <w:p w:rsidR="00EB7893" w:rsidRPr="00AD7232" w:rsidRDefault="00EB7893" w:rsidP="00EB7893">
      <w:pPr>
        <w:ind w:firstLine="708"/>
        <w:jc w:val="both"/>
        <w:rPr>
          <w:b/>
          <w:caps/>
          <w:sz w:val="24"/>
          <w:szCs w:val="24"/>
        </w:rPr>
      </w:pPr>
    </w:p>
    <w:p w:rsidR="00EB7893" w:rsidRPr="00AD7232" w:rsidRDefault="00EB23B9" w:rsidP="00EB23B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4. </w:t>
      </w:r>
      <w:r w:rsidR="00EB7893" w:rsidRPr="00AD7232">
        <w:rPr>
          <w:rFonts w:asciiTheme="minorHAnsi" w:hAnsiTheme="minorHAnsi"/>
          <w:lang w:val="bg-BG"/>
        </w:rPr>
        <w:t>Пресмятане на погашението за всеки лихвен период.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bg-BG"/>
        </w:rPr>
      </w:pPr>
    </w:p>
    <w:p w:rsidR="00EB7893" w:rsidRPr="00AD7232" w:rsidRDefault="00EB7893" w:rsidP="00EB7893">
      <w:pPr>
        <w:pStyle w:val="NormalWeb"/>
        <w:spacing w:before="0" w:beforeAutospacing="0" w:after="0" w:afterAutospacing="0"/>
        <w:ind w:left="2832"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1100" w:dyaOrig="360">
          <v:shape id="_x0000_i1045" type="#_x0000_t75" style="width:54.75pt;height:18pt" o:ole="">
            <v:imagedata r:id="rId41" o:title=""/>
          </v:shape>
          <o:OLEObject Type="Embed" ProgID="Equation.3" ShapeID="_x0000_i1045" DrawAspect="Content" ObjectID="_1489322617" r:id="rId42"/>
        </w:object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</w:r>
      <w:r w:rsidRPr="00AD7232">
        <w:rPr>
          <w:rFonts w:asciiTheme="minorHAnsi" w:hAnsiTheme="minorHAnsi"/>
          <w:lang w:val="bg-BG"/>
        </w:rPr>
        <w:tab/>
        <w:t>(4)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lang w:val="bg-BG"/>
        </w:rPr>
        <w:t>Където:</w:t>
      </w:r>
    </w:p>
    <w:p w:rsidR="00EB7893" w:rsidRPr="00AD7232" w:rsidRDefault="00EB7893" w:rsidP="00EB7893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lang w:val="bg-BG"/>
        </w:rPr>
      </w:pPr>
      <w:r w:rsidRPr="00AD7232">
        <w:rPr>
          <w:rFonts w:asciiTheme="minorHAnsi" w:hAnsiTheme="minorHAnsi"/>
          <w:position w:val="-12"/>
          <w:lang w:val="bg-BG"/>
        </w:rPr>
        <w:object w:dxaOrig="279" w:dyaOrig="360">
          <v:shape id="_x0000_i1046" type="#_x0000_t75" style="width:14.25pt;height:18pt" o:ole="">
            <v:imagedata r:id="rId43" o:title=""/>
          </v:shape>
          <o:OLEObject Type="Embed" ProgID="Equation.3" ShapeID="_x0000_i1046" DrawAspect="Content" ObjectID="_1489322618" r:id="rId44"/>
        </w:object>
      </w:r>
      <w:r w:rsidRPr="00AD7232">
        <w:rPr>
          <w:rFonts w:asciiTheme="minorHAnsi" w:hAnsiTheme="minorHAnsi"/>
          <w:lang w:val="bg-BG"/>
        </w:rPr>
        <w:t xml:space="preserve">е размерът на </w:t>
      </w:r>
      <w:proofErr w:type="spellStart"/>
      <w:r w:rsidRPr="00AD7232">
        <w:rPr>
          <w:rFonts w:asciiTheme="minorHAnsi" w:hAnsiTheme="minorHAnsi"/>
          <w:lang w:val="bg-BG"/>
        </w:rPr>
        <w:t>анюитета</w:t>
      </w:r>
      <w:proofErr w:type="spellEnd"/>
      <w:r w:rsidRPr="00AD7232">
        <w:rPr>
          <w:rFonts w:asciiTheme="minorHAnsi" w:hAnsiTheme="minorHAnsi"/>
          <w:lang w:val="bg-BG"/>
        </w:rPr>
        <w:t xml:space="preserve"> са съответния период;</w:t>
      </w:r>
    </w:p>
    <w:p w:rsidR="00EB7893" w:rsidRPr="00AD7232" w:rsidRDefault="00EB7893" w:rsidP="00EB7893">
      <w:pPr>
        <w:ind w:firstLine="708"/>
        <w:jc w:val="both"/>
        <w:rPr>
          <w:b/>
          <w:sz w:val="24"/>
          <w:szCs w:val="24"/>
        </w:rPr>
      </w:pPr>
    </w:p>
    <w:p w:rsidR="00EB7893" w:rsidRDefault="007456C0" w:rsidP="007456C0">
      <w:pPr>
        <w:spacing w:after="0" w:line="360" w:lineRule="auto"/>
        <w:rPr>
          <w:rFonts w:eastAsia="SimSun" w:cs="Times New Roman"/>
          <w:sz w:val="24"/>
          <w:szCs w:val="24"/>
          <w:u w:val="single"/>
        </w:rPr>
      </w:pPr>
      <w:r w:rsidRPr="007456C0">
        <w:rPr>
          <w:rFonts w:eastAsia="SimSun" w:cs="Times New Roman"/>
          <w:sz w:val="24"/>
          <w:szCs w:val="24"/>
          <w:u w:val="single"/>
        </w:rPr>
        <w:t xml:space="preserve">6.2 </w:t>
      </w:r>
      <w:r>
        <w:rPr>
          <w:rFonts w:eastAsia="SimSun" w:cs="Times New Roman"/>
          <w:sz w:val="24"/>
          <w:szCs w:val="24"/>
          <w:u w:val="single"/>
        </w:rPr>
        <w:t>Тестови въпроси</w:t>
      </w:r>
    </w:p>
    <w:p w:rsidR="006A3CD1" w:rsidRPr="007456C0" w:rsidRDefault="006A3CD1" w:rsidP="007456C0">
      <w:pPr>
        <w:spacing w:after="0" w:line="360" w:lineRule="auto"/>
        <w:rPr>
          <w:rFonts w:eastAsia="SimSun" w:cs="Times New Roman"/>
          <w:sz w:val="24"/>
          <w:szCs w:val="24"/>
          <w:u w:val="single"/>
        </w:rPr>
      </w:pP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1. </w:t>
      </w:r>
      <w:r w:rsidRPr="00AD7232">
        <w:rPr>
          <w:rFonts w:eastAsia="MS Mincho" w:cs="Times New Roman"/>
          <w:sz w:val="24"/>
          <w:szCs w:val="24"/>
          <w:lang w:eastAsia="ja-JP"/>
        </w:rPr>
        <w:t>Заеми при които кредиторът предоставя парични средства на дебитора въз основа на сключен договор се наричат</w:t>
      </w:r>
      <w:r w:rsidRPr="00AD7232">
        <w:rPr>
          <w:rFonts w:eastAsia="SimSun" w:cs="Times New Roman"/>
          <w:sz w:val="24"/>
          <w:szCs w:val="24"/>
        </w:rPr>
        <w:t>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А) облигационни заеми;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Б) необлигационни заеми;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В) дългосрочни кредити;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2. Облигационните и необлигационни заеми могат да бъдат: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А) дългосрочни;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Б) краткосрочни;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В) безсрочни.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3. Сборът на погашението и лихвата, които се изплащат в края на всеки лихвен период се нарича: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А) Рента;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Б) </w:t>
      </w:r>
      <w:proofErr w:type="spellStart"/>
      <w:r w:rsidRPr="00AD7232">
        <w:rPr>
          <w:rFonts w:eastAsia="SimSun" w:cs="Times New Roman"/>
          <w:sz w:val="24"/>
          <w:szCs w:val="24"/>
        </w:rPr>
        <w:t>Анюитет</w:t>
      </w:r>
      <w:proofErr w:type="spellEnd"/>
      <w:r w:rsidRPr="00AD7232">
        <w:rPr>
          <w:rFonts w:eastAsia="SimSun" w:cs="Times New Roman"/>
          <w:sz w:val="24"/>
          <w:szCs w:val="24"/>
        </w:rPr>
        <w:t>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В) </w:t>
      </w:r>
      <w:proofErr w:type="spellStart"/>
      <w:r w:rsidRPr="00AD7232">
        <w:rPr>
          <w:rFonts w:eastAsia="SimSun" w:cs="Times New Roman"/>
          <w:sz w:val="24"/>
          <w:szCs w:val="24"/>
        </w:rPr>
        <w:t>Рати</w:t>
      </w:r>
      <w:proofErr w:type="spellEnd"/>
      <w:r w:rsidRPr="00AD7232">
        <w:rPr>
          <w:rFonts w:eastAsia="SimSun" w:cs="Times New Roman"/>
          <w:sz w:val="24"/>
          <w:szCs w:val="24"/>
        </w:rPr>
        <w:t>.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4. </w:t>
      </w:r>
      <w:proofErr w:type="spellStart"/>
      <w:r w:rsidRPr="00AD7232">
        <w:rPr>
          <w:rFonts w:eastAsia="SimSun" w:cs="Times New Roman"/>
          <w:sz w:val="24"/>
          <w:szCs w:val="24"/>
        </w:rPr>
        <w:t>Анюитет</w:t>
      </w:r>
      <w:proofErr w:type="spellEnd"/>
      <w:r w:rsidRPr="00AD7232">
        <w:rPr>
          <w:rFonts w:eastAsia="SimSun" w:cs="Times New Roman"/>
          <w:sz w:val="24"/>
          <w:szCs w:val="24"/>
        </w:rPr>
        <w:t xml:space="preserve"> означава: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А) Определена парична сума, която се плаща през еднакви интервали,продължително време;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Б) Различна парична сума, плащана през еднакви интервали, продължителен период от време;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В) Определена парична сума плащана през различни интервали, продължителен период от време.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5. При заемите с еднакви погашения, </w:t>
      </w:r>
      <w:proofErr w:type="spellStart"/>
      <w:r w:rsidRPr="00AD7232">
        <w:rPr>
          <w:rFonts w:eastAsia="SimSun" w:cs="Times New Roman"/>
          <w:sz w:val="24"/>
          <w:szCs w:val="24"/>
        </w:rPr>
        <w:t>анюитета</w:t>
      </w:r>
      <w:proofErr w:type="spellEnd"/>
      <w:r w:rsidRPr="00AD7232">
        <w:rPr>
          <w:rFonts w:eastAsia="SimSun" w:cs="Times New Roman"/>
          <w:sz w:val="24"/>
          <w:szCs w:val="24"/>
        </w:rPr>
        <w:t xml:space="preserve"> се получава като: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А) към погашението се прибави полагащата се за съответния период лихва;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Б) от погашението се извади полагащата се за съответния период лихва;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В) </w:t>
      </w:r>
      <w:proofErr w:type="spellStart"/>
      <w:r w:rsidRPr="00AD7232">
        <w:rPr>
          <w:rFonts w:eastAsia="SimSun" w:cs="Times New Roman"/>
          <w:sz w:val="24"/>
          <w:szCs w:val="24"/>
        </w:rPr>
        <w:t>анюитета</w:t>
      </w:r>
      <w:proofErr w:type="spellEnd"/>
      <w:r w:rsidRPr="00AD7232">
        <w:rPr>
          <w:rFonts w:eastAsia="SimSun" w:cs="Times New Roman"/>
          <w:sz w:val="24"/>
          <w:szCs w:val="24"/>
        </w:rPr>
        <w:t xml:space="preserve"> е равен на погашението.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6. Основа за изчисляване на лихвата е: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А) погашението;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Б) остатъкът;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lastRenderedPageBreak/>
        <w:t xml:space="preserve">В) </w:t>
      </w:r>
      <w:proofErr w:type="spellStart"/>
      <w:r w:rsidRPr="00AD7232">
        <w:rPr>
          <w:rFonts w:eastAsia="SimSun" w:cs="Times New Roman"/>
          <w:sz w:val="24"/>
          <w:szCs w:val="24"/>
        </w:rPr>
        <w:t>анюитетът</w:t>
      </w:r>
      <w:proofErr w:type="spellEnd"/>
      <w:r w:rsidRPr="00AD7232">
        <w:rPr>
          <w:rFonts w:eastAsia="SimSun" w:cs="Times New Roman"/>
          <w:sz w:val="24"/>
          <w:szCs w:val="24"/>
        </w:rPr>
        <w:t>.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7. При заемите  еднакви </w:t>
      </w:r>
      <w:proofErr w:type="spellStart"/>
      <w:r w:rsidRPr="00AD7232">
        <w:rPr>
          <w:rFonts w:eastAsia="SimSun" w:cs="Times New Roman"/>
          <w:sz w:val="24"/>
          <w:szCs w:val="24"/>
        </w:rPr>
        <w:t>анюитети</w:t>
      </w:r>
      <w:proofErr w:type="spellEnd"/>
      <w:r w:rsidRPr="00AD7232">
        <w:rPr>
          <w:rFonts w:eastAsia="SimSun" w:cs="Times New Roman"/>
          <w:sz w:val="24"/>
          <w:szCs w:val="24"/>
        </w:rPr>
        <w:t>, лихвата за всеки следващ период: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А) намалява;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Б) увеличава се;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В) не се променя.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8. Банков кредит, който съчетава кредитните операции и текущите разплащания между банка и стопанска организация се нарича: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А) </w:t>
      </w:r>
      <w:proofErr w:type="spellStart"/>
      <w:r w:rsidRPr="00AD7232">
        <w:rPr>
          <w:rFonts w:eastAsia="SimSun" w:cs="Times New Roman"/>
          <w:sz w:val="24"/>
          <w:szCs w:val="24"/>
        </w:rPr>
        <w:t>контокорентен</w:t>
      </w:r>
      <w:proofErr w:type="spellEnd"/>
      <w:r w:rsidRPr="00AD7232">
        <w:rPr>
          <w:rFonts w:eastAsia="SimSun" w:cs="Times New Roman"/>
          <w:sz w:val="24"/>
          <w:szCs w:val="24"/>
        </w:rPr>
        <w:t xml:space="preserve"> кредит;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Б) овърдрафт кредит;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В) А+Б.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9. Кредит, който се отпуска срещу залог на движимо имущество и ценности се нарича: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А) сконтов кредит;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Б) ипотечен кредит;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Б) </w:t>
      </w:r>
      <w:proofErr w:type="spellStart"/>
      <w:r w:rsidRPr="00AD7232">
        <w:rPr>
          <w:rFonts w:eastAsia="SimSun" w:cs="Times New Roman"/>
          <w:sz w:val="24"/>
          <w:szCs w:val="24"/>
        </w:rPr>
        <w:t>ломбарден</w:t>
      </w:r>
      <w:proofErr w:type="spellEnd"/>
      <w:r w:rsidRPr="00AD7232">
        <w:rPr>
          <w:rFonts w:eastAsia="SimSun" w:cs="Times New Roman"/>
          <w:sz w:val="24"/>
          <w:szCs w:val="24"/>
        </w:rPr>
        <w:t xml:space="preserve"> кредит.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10. Кредит, който не представлява предоставяне на пари от страна на банка, а се изразява в гарантиране на кредитоспособността на длъжника се нарича: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>А) сконтов кредит;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Б) </w:t>
      </w:r>
      <w:proofErr w:type="spellStart"/>
      <w:r w:rsidRPr="00AD7232">
        <w:rPr>
          <w:rFonts w:eastAsia="SimSun" w:cs="Times New Roman"/>
          <w:sz w:val="24"/>
          <w:szCs w:val="24"/>
        </w:rPr>
        <w:t>акцептен</w:t>
      </w:r>
      <w:proofErr w:type="spellEnd"/>
      <w:r w:rsidRPr="00AD7232">
        <w:rPr>
          <w:rFonts w:eastAsia="SimSun" w:cs="Times New Roman"/>
          <w:sz w:val="24"/>
          <w:szCs w:val="24"/>
        </w:rPr>
        <w:t xml:space="preserve"> кредит;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  <w:r w:rsidRPr="00AD7232">
        <w:rPr>
          <w:rFonts w:eastAsia="SimSun" w:cs="Times New Roman"/>
          <w:sz w:val="24"/>
          <w:szCs w:val="24"/>
        </w:rPr>
        <w:t xml:space="preserve">В) </w:t>
      </w:r>
      <w:proofErr w:type="spellStart"/>
      <w:r w:rsidRPr="00AD7232">
        <w:rPr>
          <w:rFonts w:eastAsia="SimSun" w:cs="Times New Roman"/>
          <w:sz w:val="24"/>
          <w:szCs w:val="24"/>
        </w:rPr>
        <w:t>рамбурсен</w:t>
      </w:r>
      <w:proofErr w:type="spellEnd"/>
      <w:r w:rsidRPr="00AD7232">
        <w:rPr>
          <w:rFonts w:eastAsia="SimSun" w:cs="Times New Roman"/>
          <w:sz w:val="24"/>
          <w:szCs w:val="24"/>
        </w:rPr>
        <w:t xml:space="preserve"> кредит.</w:t>
      </w: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</w:p>
    <w:p w:rsidR="00EB7893" w:rsidRPr="00AD7232" w:rsidRDefault="00EB7893" w:rsidP="00EB23B9">
      <w:pPr>
        <w:spacing w:after="0" w:line="360" w:lineRule="auto"/>
        <w:jc w:val="both"/>
        <w:rPr>
          <w:rFonts w:eastAsia="SimSun" w:cs="Times New Roman"/>
          <w:sz w:val="24"/>
          <w:szCs w:val="24"/>
        </w:rPr>
      </w:pPr>
    </w:p>
    <w:p w:rsidR="00FE00CF" w:rsidRPr="00AD7232" w:rsidRDefault="00FE00CF" w:rsidP="00EB23B9">
      <w:pPr>
        <w:spacing w:after="0" w:line="360" w:lineRule="auto"/>
        <w:rPr>
          <w:sz w:val="24"/>
          <w:szCs w:val="24"/>
        </w:rPr>
      </w:pPr>
    </w:p>
    <w:sectPr w:rsidR="00FE00CF" w:rsidRPr="00AD7232" w:rsidSect="00FE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542DB"/>
    <w:multiLevelType w:val="hybridMultilevel"/>
    <w:tmpl w:val="4C34EDFC"/>
    <w:lvl w:ilvl="0" w:tplc="14D82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44B3"/>
    <w:multiLevelType w:val="hybridMultilevel"/>
    <w:tmpl w:val="A7DADB48"/>
    <w:lvl w:ilvl="0" w:tplc="A0F691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387E71"/>
    <w:multiLevelType w:val="hybridMultilevel"/>
    <w:tmpl w:val="BC9E79A6"/>
    <w:lvl w:ilvl="0" w:tplc="7F64A21C">
      <w:start w:val="1"/>
      <w:numFmt w:val="bullet"/>
      <w:lvlText w:val="-"/>
      <w:lvlJc w:val="left"/>
      <w:pPr>
        <w:ind w:left="814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B7893"/>
    <w:rsid w:val="00000481"/>
    <w:rsid w:val="00005A48"/>
    <w:rsid w:val="00016B30"/>
    <w:rsid w:val="00052445"/>
    <w:rsid w:val="000551DE"/>
    <w:rsid w:val="00086925"/>
    <w:rsid w:val="000A5F6A"/>
    <w:rsid w:val="0010193D"/>
    <w:rsid w:val="00112A5F"/>
    <w:rsid w:val="00122CD9"/>
    <w:rsid w:val="00123496"/>
    <w:rsid w:val="00133D54"/>
    <w:rsid w:val="00136CC7"/>
    <w:rsid w:val="00166DE1"/>
    <w:rsid w:val="00203A40"/>
    <w:rsid w:val="00220CC5"/>
    <w:rsid w:val="002236F3"/>
    <w:rsid w:val="002307D7"/>
    <w:rsid w:val="002334B1"/>
    <w:rsid w:val="00256922"/>
    <w:rsid w:val="00294266"/>
    <w:rsid w:val="002A2FCF"/>
    <w:rsid w:val="002B6793"/>
    <w:rsid w:val="002E08F0"/>
    <w:rsid w:val="002F0CCC"/>
    <w:rsid w:val="00304667"/>
    <w:rsid w:val="0030663E"/>
    <w:rsid w:val="0031027C"/>
    <w:rsid w:val="00382BA1"/>
    <w:rsid w:val="003910C4"/>
    <w:rsid w:val="003B2697"/>
    <w:rsid w:val="003B732C"/>
    <w:rsid w:val="003C3F0D"/>
    <w:rsid w:val="003F77DC"/>
    <w:rsid w:val="0042630F"/>
    <w:rsid w:val="00447A89"/>
    <w:rsid w:val="00463EF1"/>
    <w:rsid w:val="00497A34"/>
    <w:rsid w:val="004D331C"/>
    <w:rsid w:val="004D6BDC"/>
    <w:rsid w:val="004F2023"/>
    <w:rsid w:val="00526948"/>
    <w:rsid w:val="0052781E"/>
    <w:rsid w:val="00532424"/>
    <w:rsid w:val="00542C72"/>
    <w:rsid w:val="00544EB2"/>
    <w:rsid w:val="0055382D"/>
    <w:rsid w:val="005846F2"/>
    <w:rsid w:val="00591516"/>
    <w:rsid w:val="00591AA7"/>
    <w:rsid w:val="00616320"/>
    <w:rsid w:val="006237B6"/>
    <w:rsid w:val="00660C8B"/>
    <w:rsid w:val="00691FF1"/>
    <w:rsid w:val="006A3CD1"/>
    <w:rsid w:val="006B5FCB"/>
    <w:rsid w:val="006D4C52"/>
    <w:rsid w:val="006E2BB4"/>
    <w:rsid w:val="006F276F"/>
    <w:rsid w:val="0073614E"/>
    <w:rsid w:val="007456C0"/>
    <w:rsid w:val="007532C2"/>
    <w:rsid w:val="00765E96"/>
    <w:rsid w:val="00782CA3"/>
    <w:rsid w:val="007873D7"/>
    <w:rsid w:val="007B09AB"/>
    <w:rsid w:val="007B32A7"/>
    <w:rsid w:val="007B5EC3"/>
    <w:rsid w:val="007C5257"/>
    <w:rsid w:val="008004BB"/>
    <w:rsid w:val="00852E45"/>
    <w:rsid w:val="00863599"/>
    <w:rsid w:val="00863C3B"/>
    <w:rsid w:val="008A67E7"/>
    <w:rsid w:val="008B7385"/>
    <w:rsid w:val="008D0DC2"/>
    <w:rsid w:val="008F7843"/>
    <w:rsid w:val="00907615"/>
    <w:rsid w:val="00952D91"/>
    <w:rsid w:val="009552D6"/>
    <w:rsid w:val="009A1DEB"/>
    <w:rsid w:val="009A2439"/>
    <w:rsid w:val="009B7DFC"/>
    <w:rsid w:val="009E7AD8"/>
    <w:rsid w:val="009F12D0"/>
    <w:rsid w:val="009F2F28"/>
    <w:rsid w:val="009F70B6"/>
    <w:rsid w:val="00A1496F"/>
    <w:rsid w:val="00A458EC"/>
    <w:rsid w:val="00A77566"/>
    <w:rsid w:val="00A92AF6"/>
    <w:rsid w:val="00AB6BAB"/>
    <w:rsid w:val="00AD7232"/>
    <w:rsid w:val="00AE4F4D"/>
    <w:rsid w:val="00AE557A"/>
    <w:rsid w:val="00AE5DFF"/>
    <w:rsid w:val="00B1420F"/>
    <w:rsid w:val="00B23212"/>
    <w:rsid w:val="00B240CF"/>
    <w:rsid w:val="00B342B5"/>
    <w:rsid w:val="00B4085B"/>
    <w:rsid w:val="00B42566"/>
    <w:rsid w:val="00B52C1E"/>
    <w:rsid w:val="00B6364C"/>
    <w:rsid w:val="00B7348D"/>
    <w:rsid w:val="00BB68A7"/>
    <w:rsid w:val="00BB7D9C"/>
    <w:rsid w:val="00BD176F"/>
    <w:rsid w:val="00BD67F2"/>
    <w:rsid w:val="00BF19FE"/>
    <w:rsid w:val="00C10A0E"/>
    <w:rsid w:val="00C21105"/>
    <w:rsid w:val="00C55B05"/>
    <w:rsid w:val="00C700D8"/>
    <w:rsid w:val="00C80E23"/>
    <w:rsid w:val="00CA2D3A"/>
    <w:rsid w:val="00CA34A9"/>
    <w:rsid w:val="00CF2F02"/>
    <w:rsid w:val="00D53D6A"/>
    <w:rsid w:val="00D851C1"/>
    <w:rsid w:val="00DA1F1D"/>
    <w:rsid w:val="00DA516C"/>
    <w:rsid w:val="00DB2660"/>
    <w:rsid w:val="00DC6EEA"/>
    <w:rsid w:val="00DE4FC7"/>
    <w:rsid w:val="00E017A8"/>
    <w:rsid w:val="00E05792"/>
    <w:rsid w:val="00E5045A"/>
    <w:rsid w:val="00E577BC"/>
    <w:rsid w:val="00E62E10"/>
    <w:rsid w:val="00E819D8"/>
    <w:rsid w:val="00E95208"/>
    <w:rsid w:val="00EB1AFB"/>
    <w:rsid w:val="00EB22C9"/>
    <w:rsid w:val="00EB23B9"/>
    <w:rsid w:val="00EB7893"/>
    <w:rsid w:val="00ED7A60"/>
    <w:rsid w:val="00EE6A5E"/>
    <w:rsid w:val="00F2018D"/>
    <w:rsid w:val="00F5072F"/>
    <w:rsid w:val="00F63DF5"/>
    <w:rsid w:val="00FD4FD2"/>
    <w:rsid w:val="00FD7629"/>
    <w:rsid w:val="00FD7EB6"/>
    <w:rsid w:val="00FE00CF"/>
    <w:rsid w:val="00FF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7893"/>
    <w:pPr>
      <w:tabs>
        <w:tab w:val="center" w:pos="4536"/>
        <w:tab w:val="right" w:pos="9072"/>
      </w:tabs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0"/>
      <w:lang w:val="en-AU"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EB7893"/>
    <w:rPr>
      <w:rFonts w:ascii="Times New Roman" w:eastAsia="MS Mincho" w:hAnsi="Times New Roman" w:cs="Times New Roman"/>
      <w:sz w:val="24"/>
      <w:szCs w:val="20"/>
      <w:lang w:val="en-AU" w:eastAsia="ar-SA"/>
    </w:rPr>
  </w:style>
  <w:style w:type="paragraph" w:styleId="NormalWeb">
    <w:name w:val="Normal (Web)"/>
    <w:basedOn w:val="Normal"/>
    <w:uiPriority w:val="99"/>
    <w:unhideWhenUsed/>
    <w:rsid w:val="00EB7893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EB7893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0"/>
      <w:lang w:val="en-AU" w:eastAsia="ar-SA"/>
    </w:rPr>
  </w:style>
  <w:style w:type="character" w:styleId="SubtleEmphasis">
    <w:name w:val="Subtle Emphasis"/>
    <w:basedOn w:val="DefaultParagraphFont"/>
    <w:uiPriority w:val="19"/>
    <w:qFormat/>
    <w:rsid w:val="00EB7893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782C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</dc:creator>
  <cp:lastModifiedBy>MINA</cp:lastModifiedBy>
  <cp:revision>17</cp:revision>
  <dcterms:created xsi:type="dcterms:W3CDTF">2015-02-24T13:02:00Z</dcterms:created>
  <dcterms:modified xsi:type="dcterms:W3CDTF">2015-03-31T12:57:00Z</dcterms:modified>
</cp:coreProperties>
</file>