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77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o_Digital_logo_horizontal_v2_outline_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75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111827"/>
          <w:sz w:val="48"/>
        </w:rPr>
        <w:t>BRAND KIT PÚBLICO</w:t>
      </w:r>
    </w:p>
    <w:p>
      <w:pPr>
        <w:jc w:val="center"/>
      </w:pPr>
      <w:r>
        <w:rPr>
          <w:color w:val="64748B"/>
          <w:sz w:val="26"/>
        </w:rPr>
        <w:t>Identidade visual pública da Modo Digital</w:t>
      </w:r>
    </w:p>
    <w:p/>
    <w:p/>
    <w:p>
      <w:pPr>
        <w:jc w:val="center"/>
      </w:pPr>
      <w:r>
        <w:rPr>
          <w:color w:val="64748B"/>
          <w:sz w:val="18"/>
        </w:rPr>
        <w:t>Versão pública v1.0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7FA"/>
          </w:tcPr>
          <w:p>
            <w:r>
              <w:rPr>
                <w:b/>
                <w:color w:val="111827"/>
                <w:sz w:val="20"/>
              </w:rPr>
              <w:t>Uso público</w:t>
            </w:r>
          </w:p>
          <w:p>
            <w:pPr>
              <w:spacing w:after="80"/>
            </w:pPr>
            <w:r>
              <w:rPr>
                <w:sz w:val="19"/>
              </w:rPr>
              <w:t>Este documento apresenta uma versão pública e prática do sistema visual da Modo Digital. Ele não substitui o Brand Kit interno, mas orienta aplicações externas, parceiros e páginas públicas do site.</w:t>
            </w:r>
          </w:p>
        </w:tc>
      </w:tr>
    </w:tbl>
    <w:p/>
    <w:p>
      <w:pPr>
        <w:pStyle w:val="Heading1"/>
      </w:pPr>
      <w:r>
        <w:t>1. Assinatura da marca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04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o_Digital_logo_horizontal_v2_outline_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0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Nome oficial: Modo Digital</w:t>
      </w:r>
    </w:p>
    <w:p>
      <w:r>
        <w:t>Descritor oficial: Estrutura Digital para Empresas</w:t>
      </w:r>
    </w:p>
    <w:p>
      <w:pPr>
        <w:pStyle w:val="Heading1"/>
      </w:pPr>
      <w:r>
        <w:t>2. Conceito do símbolo</w:t>
      </w:r>
    </w:p>
    <w:p>
      <w:r>
        <w:t>O símbolo representa uma estrutura modular organizada ao redor de um núcleo central. Esse núcleo simboliza o negócio do cliente; os módulos ao redor representam as partes da estrutura digital que sustentam, conectam e acompanham esse negócio.</w:t>
      </w:r>
    </w:p>
    <w:p>
      <w:r>
        <w:t>A marca não tenta explicar tudo no símbolo. Ela usa uma forma simples, memorável e aplicável para transmitir organização, sistema, continuidade e tecnologia.</w:t>
      </w:r>
    </w:p>
    <w:p>
      <w:pPr>
        <w:pStyle w:val="Heading1"/>
      </w:pPr>
      <w:r>
        <w:t>3. Versões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 público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Símbolo isolado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Favicon, avatar, marca d’água, detalhe gráfico e aplicações reduzidas.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Lockup horizontal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Header do site, rodapé, assinaturas e usos funcionais.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Lockup vertical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Capas, aberturas, apresentações e peças institucionais.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Versão monocromática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Uso preferencial sempre que legibilidade e consistência forem prioridade.</w:t>
            </w:r>
          </w:p>
        </w:tc>
      </w:tr>
    </w:tbl>
    <w:p/>
    <w:p>
      <w:pPr>
        <w:pStyle w:val="Heading1"/>
      </w:pPr>
      <w:r>
        <w:t>4. Paleta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2556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556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556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Grafite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#0B0F14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Base dark-first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Fundos principais, hero, propostas.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Azul profundo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#071827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Profundidade e confiança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Fundos, gradientes, áreas premium.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Ciano técnico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#18C8FF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Links, detalhes de interface, highlights.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Verde digital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#3EF28A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 e funcionamento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Indicadores, sucesso, estabilidade.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Ouro premium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#D6A94E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Valor institucional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Detalhes premium e selos.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Ouro gradiente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#8A6324 → #F2E58A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Tratamento especial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Capas, hero, destaques de alto valor.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Branco gelo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#F5F7FA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Versão clara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Leitura, áreas de apoio e documentos.</w:t>
            </w:r>
          </w:p>
        </w:tc>
      </w:tr>
    </w:tbl>
    <w:p/>
    <w:p>
      <w:pPr>
        <w:pStyle w:val="Heading1"/>
      </w:pPr>
      <w:r>
        <w:t>5. Tipografia</w:t>
      </w:r>
    </w:p>
    <w:p>
      <w:r>
        <w:t>Tipografia principal: Geist Sans. Usada em títulos, textos, navegação, botões e interface.</w:t>
      </w:r>
    </w:p>
    <w:p>
      <w:r>
        <w:t>Tipografia de apoio: Geist Mono. Usada em labels, pequenos dados, detalhes técnicos e elementos que precisem transmitir precisão.</w:t>
      </w:r>
    </w:p>
    <w:p>
      <w:pPr>
        <w:pStyle w:val="Heading1"/>
      </w:pPr>
      <w:r>
        <w:t>6. Direção visual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Dark-first: a primeira impressão da marca deve ser premium, impactante e tecnológica.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Versão clara obrigatória: leitura, acessibilidade e materiais extensos devem ter opção clara.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Estrutura modular: cards, grids, blocos, camadas e interfaces devem reforçar a ideia de sistema.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Impacto controlado: glow, profundidade e ouro em gradiente podem ser usados, mas sempre com intenção.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Nada de excesso gratuito: a marca pode impressionar, mas nunca parecer genérica ou decorativa.</w:t>
      </w:r>
    </w:p>
    <w:p>
      <w:pPr>
        <w:pStyle w:val="Heading1"/>
      </w:pPr>
      <w:r>
        <w:t>7. Uso do ouro em gradiente</w:t>
      </w:r>
    </w:p>
    <w:p>
      <w:r>
        <w:t>O ouro em gradiente é um tratamento premium especial, não uma cor operacional. Ele deve ser usado em capas, hero, selos, aberturas e detalhes de valor. Não deve ser usado em texto corrido, formulários, botões comuns, links ou cards operacionais.</w:t>
      </w:r>
    </w:p>
    <w:p>
      <w:pPr>
        <w:pStyle w:val="Heading1"/>
      </w:pPr>
      <w:r>
        <w:t>8. Regras rápidas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alterar o símbolo oficial.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trocar a tipografia sem motivo estratégico.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usar muitas cores ao mesmo tempo.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transformar a marca em visual de agência genérica.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depender de efeito para esconder falta de composição.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Manter contraste, clareza e respiro visual.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Modo Digital · Documento público · sejamododigital.com.br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