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BB80" w14:textId="07ABF850" w:rsidR="002D4719" w:rsidRPr="00964284" w:rsidRDefault="00AA3997" w:rsidP="00964284">
      <w:pPr>
        <w:pStyle w:val="Heading1"/>
        <w:rPr>
          <w:rFonts w:ascii="Aptos Display" w:eastAsia="Yu Gothic Light" w:hAnsi="Aptos Display" w:cs="Times New Roman"/>
          <w:i/>
          <w:iCs/>
          <w:smallCaps/>
          <w:color w:val="0D3B36"/>
          <w:sz w:val="60"/>
          <w:szCs w:val="60"/>
          <w:u w:val="single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  <w:sz w:val="60"/>
          <w:szCs w:val="60"/>
          <w:u w:val="single"/>
        </w:rPr>
        <w:t>Medical &amp; Site Disclaimer</w:t>
      </w:r>
    </w:p>
    <w:p w14:paraId="2A18A4C3" w14:textId="27A2C032" w:rsidR="002D4719" w:rsidRPr="007663FC" w:rsidRDefault="00000000">
      <w:pPr>
        <w:rPr>
          <w:rStyle w:val="SubtleEmphasis"/>
          <w:color w:val="3A3B40"/>
        </w:rPr>
      </w:pPr>
      <w:r w:rsidRPr="007663FC">
        <w:rPr>
          <w:rStyle w:val="SubtleEmphasis"/>
          <w:color w:val="3A3B40"/>
        </w:rPr>
        <w:t>Effective Date: October 0</w:t>
      </w:r>
      <w:r w:rsidR="00490B1A">
        <w:rPr>
          <w:rStyle w:val="SubtleEmphasis"/>
          <w:color w:val="3A3B40"/>
        </w:rPr>
        <w:t>3</w:t>
      </w:r>
      <w:r w:rsidRPr="007663FC">
        <w:rPr>
          <w:rStyle w:val="SubtleEmphasis"/>
          <w:color w:val="3A3B40"/>
        </w:rPr>
        <w:t>, 2025</w:t>
      </w:r>
    </w:p>
    <w:p w14:paraId="3B320C90" w14:textId="77777777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General Information Only</w:t>
      </w:r>
    </w:p>
    <w:p w14:paraId="0A18B4F3" w14:textId="77777777" w:rsidR="00AA3997" w:rsidRPr="00DE3364" w:rsidRDefault="00AA3997" w:rsidP="00DE3364">
      <w:pPr>
        <w:pStyle w:val="NoSpacing"/>
      </w:pPr>
      <w:r w:rsidRPr="00DE3364">
        <w:t>CloseDose provides general educational information and weight</w:t>
      </w:r>
      <w:r w:rsidRPr="00DE3364">
        <w:rPr>
          <w:rFonts w:ascii="Cambria Math" w:hAnsi="Cambria Math" w:cs="Cambria Math"/>
        </w:rPr>
        <w:t>‑</w:t>
      </w:r>
      <w:r w:rsidRPr="00DE3364">
        <w:t>based dose calculators for acetaminophen and ibuprofen. The information is not a substitute for professional medical advice, diagnosis, or treatment.</w:t>
      </w:r>
    </w:p>
    <w:p w14:paraId="27E29469" w14:textId="77777777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Emergency &amp; Return Precautions</w:t>
      </w:r>
    </w:p>
    <w:p w14:paraId="3A64477A" w14:textId="77777777" w:rsidR="00AA3997" w:rsidRDefault="00AA3997" w:rsidP="00AA3997">
      <w:pPr>
        <w:pStyle w:val="NoSpacing"/>
      </w:pPr>
      <w:r>
        <w:t>If you suspect an overdose, severe reaction, or your child appears very ill, call your local emergency number or poison control immediately. Always follow medication labels and instructions from your clinician.</w:t>
      </w:r>
    </w:p>
    <w:p w14:paraId="182CFA9A" w14:textId="77777777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Dosing Assumptions</w:t>
      </w:r>
    </w:p>
    <w:p w14:paraId="1096B034" w14:textId="77777777" w:rsidR="00AA3997" w:rsidRDefault="00AA3997" w:rsidP="00AA3997">
      <w:pPr>
        <w:pStyle w:val="NoSpacing"/>
      </w:pPr>
      <w:r>
        <w:t>Output is based on user</w:t>
      </w:r>
      <w:r>
        <w:rPr>
          <w:rFonts w:ascii="Cambria Math" w:hAnsi="Cambria Math" w:cs="Cambria Math"/>
        </w:rPr>
        <w:t>‑</w:t>
      </w:r>
      <w:r>
        <w:t>entered weight and typical pediatric dosing ranges. Concentrations vary by product and manufacturer; verify the concentration and formulation you have on hand.</w:t>
      </w:r>
    </w:p>
    <w:p w14:paraId="327F34CD" w14:textId="050084FC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No Establishment of Provider</w:t>
      </w:r>
      <w:r w:rsidRPr="00964284">
        <w:rPr>
          <w:rFonts w:ascii="Cambria Math" w:eastAsia="Yu Gothic Light" w:hAnsi="Cambria Math" w:cs="Cambria Math"/>
          <w:b/>
          <w:bCs w:val="0"/>
          <w:smallCaps/>
          <w:color w:val="0D3B36"/>
        </w:rPr>
        <w:t>‑</w:t>
      </w: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Patient Relationship</w:t>
      </w:r>
    </w:p>
    <w:p w14:paraId="55196527" w14:textId="77777777" w:rsidR="00AA3997" w:rsidRDefault="00AA3997" w:rsidP="00AA3997">
      <w:pPr>
        <w:pStyle w:val="NoSpacing"/>
      </w:pPr>
      <w:r>
        <w:t>Using the Services of CloseDose or any affiliated website does not create a provider</w:t>
      </w:r>
      <w:r>
        <w:rPr>
          <w:rFonts w:ascii="Cambria Math" w:hAnsi="Cambria Math" w:cs="Cambria Math"/>
        </w:rPr>
        <w:t>‑</w:t>
      </w:r>
      <w:r>
        <w:t xml:space="preserve">patient relationship with CloseDose or its contributors. Use of CloseDose tools is not a suitable alternative for establishment with a professional medical provider or professional medical care. CloseDose provides weight-based dosing guidance for over-the-counter medications and provides general educational information on over-the-counter medications. Medication dosing should be directed under the supervision of a medical professional and CloseDose is </w:t>
      </w:r>
      <w:r w:rsidRPr="00E34B88">
        <w:t>not a substitute for professional medical advice, diagnosis, or treatment.</w:t>
      </w:r>
    </w:p>
    <w:p w14:paraId="603E3628" w14:textId="77777777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No Warranties</w:t>
      </w:r>
    </w:p>
    <w:p w14:paraId="4DB08595" w14:textId="77777777" w:rsidR="00AA3997" w:rsidRDefault="00AA3997" w:rsidP="00AA3997">
      <w:pPr>
        <w:pStyle w:val="NoSpacing"/>
      </w:pPr>
      <w:r>
        <w:t>The Services are provided “as is” without warranties of any kind. Use at your own risk and confirm information with a licensed professional.</w:t>
      </w:r>
    </w:p>
    <w:p w14:paraId="526519F1" w14:textId="77777777" w:rsidR="00AA3997" w:rsidRPr="00964284" w:rsidRDefault="00AA3997" w:rsidP="00AA3997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D3B36"/>
        </w:rPr>
      </w:pPr>
      <w:r w:rsidRPr="00964284">
        <w:rPr>
          <w:rFonts w:ascii="Aptos Display" w:eastAsia="Yu Gothic Light" w:hAnsi="Aptos Display" w:cs="Times New Roman"/>
          <w:b/>
          <w:bCs w:val="0"/>
          <w:smallCaps/>
          <w:color w:val="0D3B36"/>
        </w:rPr>
        <w:t>Contact</w:t>
      </w:r>
    </w:p>
    <w:p w14:paraId="71A7D27D" w14:textId="5E14E07F" w:rsidR="002D4719" w:rsidRDefault="00AA3997" w:rsidP="00A43966">
      <w:pPr>
        <w:pStyle w:val="NoSpacing"/>
      </w:pPr>
      <w:r>
        <w:t>Questions? Email</w:t>
      </w:r>
      <w:r w:rsidR="00A43966">
        <w:t>:</w:t>
      </w:r>
      <w:hyperlink r:id="rId8" w:history="1">
        <w:r w:rsidRPr="00490B1A">
          <w:rPr>
            <w:rStyle w:val="Hyperlink"/>
          </w:rPr>
          <w:t xml:space="preserve"> </w:t>
        </w:r>
        <w:r w:rsidR="00B4325C" w:rsidRPr="00490B1A">
          <w:rPr>
            <w:rStyle w:val="Hyperlink"/>
          </w:rPr>
          <w:t>info</w:t>
        </w:r>
        <w:r w:rsidRPr="00490B1A">
          <w:rPr>
            <w:rStyle w:val="Hyperlink"/>
          </w:rPr>
          <w:t>@closedose.com</w:t>
        </w:r>
      </w:hyperlink>
    </w:p>
    <w:sectPr w:rsidR="002D4719" w:rsidSect="00DE3364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384D" w14:textId="77777777" w:rsidR="00F630BF" w:rsidRDefault="00F630BF" w:rsidP="00987436">
      <w:pPr>
        <w:spacing w:after="0" w:line="240" w:lineRule="auto"/>
      </w:pPr>
      <w:r>
        <w:separator/>
      </w:r>
    </w:p>
  </w:endnote>
  <w:endnote w:type="continuationSeparator" w:id="0">
    <w:p w14:paraId="6D99592D" w14:textId="77777777" w:rsidR="00F630BF" w:rsidRDefault="00F630BF" w:rsidP="0098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4B44A" w14:textId="77777777" w:rsidR="00F630BF" w:rsidRDefault="00F630BF" w:rsidP="00987436">
      <w:pPr>
        <w:spacing w:after="0" w:line="240" w:lineRule="auto"/>
      </w:pPr>
      <w:r>
        <w:separator/>
      </w:r>
    </w:p>
  </w:footnote>
  <w:footnote w:type="continuationSeparator" w:id="0">
    <w:p w14:paraId="3370921B" w14:textId="77777777" w:rsidR="00F630BF" w:rsidRDefault="00F630BF" w:rsidP="0098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4715" w14:textId="0FBC915A" w:rsidR="008955FD" w:rsidRDefault="00964284">
    <w:pPr>
      <w:pStyle w:val="Header"/>
    </w:pPr>
    <w:r>
      <w:rPr>
        <w:noProof/>
      </w:rPr>
    </w:r>
    <w:r w:rsidR="00964284">
      <w:rPr>
        <w:noProof/>
      </w:rPr>
      <w:pict w14:anchorId="5020E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855632" o:spid="_x0000_s1026" type="#_x0000_t75" alt="" style="position:absolute;margin-left:0;margin-top:0;width:1220.5pt;height:500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_Logo-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C2A25" w14:textId="72B87803" w:rsidR="00987436" w:rsidRPr="00987436" w:rsidRDefault="00DE3364" w:rsidP="00987436">
    <w:pPr>
      <w:pStyle w:val="NoSpacing"/>
      <w:rPr>
        <w:rFonts w:ascii="Proxima Nova" w:hAnsi="Proxima Nova"/>
        <w:b/>
        <w:bCs/>
        <w:sz w:val="48"/>
        <w:szCs w:val="48"/>
      </w:rPr>
    </w:pPr>
    <w:r w:rsidRPr="00987436">
      <w:rPr>
        <w:rFonts w:ascii="Proxima Nova" w:hAnsi="Proxima Nova"/>
        <w:b/>
        <w:bCs/>
        <w:noProof/>
        <w:sz w:val="72"/>
        <w:szCs w:val="72"/>
      </w:rPr>
      <w:drawing>
        <wp:anchor distT="0" distB="0" distL="114300" distR="114300" simplePos="0" relativeHeight="251659264" behindDoc="0" locked="0" layoutInCell="1" allowOverlap="1" wp14:anchorId="161A3C5A" wp14:editId="044A7D74">
          <wp:simplePos x="0" y="0"/>
          <wp:positionH relativeFrom="column">
            <wp:posOffset>4833620</wp:posOffset>
          </wp:positionH>
          <wp:positionV relativeFrom="paragraph">
            <wp:posOffset>-72390</wp:posOffset>
          </wp:positionV>
          <wp:extent cx="598170" cy="459530"/>
          <wp:effectExtent l="0" t="0" r="0" b="0"/>
          <wp:wrapNone/>
          <wp:docPr id="52237350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373504" name="Graphic 52237350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25294" r="21368"/>
                  <a:stretch>
                    <a:fillRect/>
                  </a:stretch>
                </pic:blipFill>
                <pic:spPr bwMode="auto">
                  <a:xfrm>
                    <a:off x="0" y="0"/>
                    <a:ext cx="598170" cy="459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284">
      <w:rPr>
        <w:rFonts w:ascii="Proxima Nova" w:hAnsi="Proxima Nova"/>
        <w:b/>
        <w:bCs/>
        <w:noProof/>
        <w:sz w:val="72"/>
        <w:szCs w:val="72"/>
      </w:rPr>
    </w:r>
    <w:r w:rsidR="00964284">
      <w:rPr>
        <w:rFonts w:ascii="Proxima Nova" w:hAnsi="Proxima Nova"/>
        <w:b/>
        <w:bCs/>
        <w:noProof/>
        <w:sz w:val="72"/>
        <w:szCs w:val="72"/>
      </w:rPr>
      <w:pict w14:anchorId="5D2D7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1220.5pt;height:500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CD_Logo-Black" gain="19661f" blacklevel="22938f"/>
          <w10:wrap anchorx="margin" anchory="margin"/>
        </v:shape>
      </w:pict>
    </w:r>
    <w:r w:rsidR="00987436" w:rsidRPr="00987436">
      <w:rPr>
        <w:rFonts w:ascii="Proxima Nova" w:hAnsi="Proxima Nova"/>
        <w:b/>
        <w:bCs/>
        <w:sz w:val="72"/>
        <w:szCs w:val="72"/>
      </w:rPr>
      <w:t>CloseDose.com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DFA33" w14:textId="6511A775" w:rsidR="008955FD" w:rsidRDefault="00964284">
    <w:pPr>
      <w:pStyle w:val="Header"/>
    </w:pPr>
    <w:r>
      <w:rPr>
        <w:noProof/>
      </w:rPr>
    </w:r>
    <w:r w:rsidR="00964284">
      <w:rPr>
        <w:noProof/>
      </w:rPr>
      <w:pict w14:anchorId="71522A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855631" o:spid="_x0000_s1025" type="#_x0000_t75" alt="" style="position:absolute;margin-left:0;margin-top:0;width:1220.5pt;height:500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_Logo-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667836">
    <w:abstractNumId w:val="8"/>
  </w:num>
  <w:num w:numId="2" w16cid:durableId="9770217">
    <w:abstractNumId w:val="6"/>
  </w:num>
  <w:num w:numId="3" w16cid:durableId="1843399129">
    <w:abstractNumId w:val="5"/>
  </w:num>
  <w:num w:numId="4" w16cid:durableId="1929650313">
    <w:abstractNumId w:val="4"/>
  </w:num>
  <w:num w:numId="5" w16cid:durableId="952637598">
    <w:abstractNumId w:val="7"/>
  </w:num>
  <w:num w:numId="6" w16cid:durableId="1907718974">
    <w:abstractNumId w:val="3"/>
  </w:num>
  <w:num w:numId="7" w16cid:durableId="1123690407">
    <w:abstractNumId w:val="2"/>
  </w:num>
  <w:num w:numId="8" w16cid:durableId="176389778">
    <w:abstractNumId w:val="1"/>
  </w:num>
  <w:num w:numId="9" w16cid:durableId="5323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6C6"/>
    <w:rsid w:val="00034616"/>
    <w:rsid w:val="0006063C"/>
    <w:rsid w:val="000759B6"/>
    <w:rsid w:val="000B4ADC"/>
    <w:rsid w:val="0015074B"/>
    <w:rsid w:val="001869EC"/>
    <w:rsid w:val="0029639D"/>
    <w:rsid w:val="002D4719"/>
    <w:rsid w:val="00326F90"/>
    <w:rsid w:val="00490B1A"/>
    <w:rsid w:val="00585ABB"/>
    <w:rsid w:val="005A2E9D"/>
    <w:rsid w:val="006C6F8B"/>
    <w:rsid w:val="007516FE"/>
    <w:rsid w:val="007663FC"/>
    <w:rsid w:val="00774934"/>
    <w:rsid w:val="008955FD"/>
    <w:rsid w:val="008E58C9"/>
    <w:rsid w:val="009265CF"/>
    <w:rsid w:val="00964284"/>
    <w:rsid w:val="00987436"/>
    <w:rsid w:val="00A43966"/>
    <w:rsid w:val="00AA1D8D"/>
    <w:rsid w:val="00AA3997"/>
    <w:rsid w:val="00AC6BA9"/>
    <w:rsid w:val="00B002FB"/>
    <w:rsid w:val="00B4325C"/>
    <w:rsid w:val="00B47730"/>
    <w:rsid w:val="00CB0664"/>
    <w:rsid w:val="00D21F73"/>
    <w:rsid w:val="00DC3668"/>
    <w:rsid w:val="00DE3364"/>
    <w:rsid w:val="00ED118A"/>
    <w:rsid w:val="00F55476"/>
    <w:rsid w:val="00F630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609BCE"/>
  <w14:defaultImageDpi w14:val="300"/>
  <w15:docId w15:val="{21043ED2-0BBB-6F45-9305-FEA93B3C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9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E9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E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E9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E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E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E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5A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E9D"/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2E9D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E9D"/>
    <w:rPr>
      <w:rFonts w:eastAsiaTheme="majorEastAsia" w:cstheme="majorBidi"/>
      <w:b/>
      <w:bCs/>
      <w:color w:val="0E2841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2E9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A2E9D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E9D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A2E9D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ListParagraph">
    <w:name w:val="List Paragraph"/>
    <w:basedOn w:val="Normal"/>
    <w:uiPriority w:val="34"/>
    <w:qFormat/>
    <w:rsid w:val="005A2E9D"/>
    <w:pPr>
      <w:spacing w:line="240" w:lineRule="auto"/>
      <w:ind w:left="720" w:hanging="288"/>
      <w:contextualSpacing/>
    </w:pPr>
    <w:rPr>
      <w:color w:val="0E2841" w:themeColor="text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A2E9D"/>
    <w:pPr>
      <w:pBdr>
        <w:left w:val="single" w:sz="48" w:space="13" w:color="156082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A2E9D"/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E9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E9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E9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E9D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E9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E9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E9D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5A2E9D"/>
    <w:rPr>
      <w:b/>
      <w:bCs/>
      <w:color w:val="153D63" w:themeColor="text2" w:themeTint="E6"/>
    </w:rPr>
  </w:style>
  <w:style w:type="character" w:styleId="Emphasis">
    <w:name w:val="Emphasis"/>
    <w:basedOn w:val="DefaultParagraphFont"/>
    <w:uiPriority w:val="20"/>
    <w:qFormat/>
    <w:rsid w:val="005A2E9D"/>
    <w:rPr>
      <w:b w:val="0"/>
      <w:i/>
      <w:iCs/>
      <w:color w:val="0E2841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E9D"/>
    <w:pPr>
      <w:pBdr>
        <w:left w:val="single" w:sz="48" w:space="13" w:color="E97132" w:themeColor="accent2"/>
      </w:pBdr>
      <w:spacing w:before="240" w:after="120" w:line="300" w:lineRule="auto"/>
    </w:pPr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E9D"/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A2E9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2E9D"/>
    <w:rPr>
      <w:b/>
      <w:bCs/>
      <w:i/>
      <w:iCs/>
      <w:color w:val="0E2841" w:themeColor="text2"/>
    </w:rPr>
  </w:style>
  <w:style w:type="character" w:styleId="SubtleReference">
    <w:name w:val="Subtle Reference"/>
    <w:basedOn w:val="DefaultParagraphFont"/>
    <w:uiPriority w:val="31"/>
    <w:qFormat/>
    <w:rsid w:val="005A2E9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2E9D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A2E9D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E9D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customStyle="1" w:styleId="PersonalName">
    <w:name w:val="Personal Name"/>
    <w:basedOn w:val="Title"/>
    <w:qFormat/>
    <w:rsid w:val="005A2E9D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A2E9D"/>
  </w:style>
  <w:style w:type="character" w:styleId="Hyperlink">
    <w:name w:val="Hyperlink"/>
    <w:basedOn w:val="DefaultParagraphFont"/>
    <w:uiPriority w:val="99"/>
    <w:unhideWhenUsed/>
    <w:rsid w:val="006C6F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losedose.com?subject=CloseDose%20Disclaimer%20Question!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Mancini, Nickolas</cp:lastModifiedBy>
  <cp:revision>8</cp:revision>
  <dcterms:created xsi:type="dcterms:W3CDTF">2025-10-03T06:26:00Z</dcterms:created>
  <dcterms:modified xsi:type="dcterms:W3CDTF">2025-10-03T07:33:00Z</dcterms:modified>
  <cp:category/>
</cp:coreProperties>
</file>