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Community-Level</w:t>
      </w:r>
      <w:r>
        <w:t xml:space="preserve"> </w:t>
      </w:r>
      <w:r>
        <w:t xml:space="preserve">Health</w:t>
      </w:r>
      <w:r>
        <w:t xml:space="preserve"> </w:t>
      </w:r>
      <w:r>
        <w:t xml:space="preserve">Insurance</w:t>
      </w:r>
      <w:r>
        <w:t xml:space="preserve"> </w:t>
      </w:r>
      <w:r>
        <w:t xml:space="preserve">Coverage</w:t>
      </w:r>
      <w:r>
        <w:t xml:space="preserve"> </w:t>
      </w:r>
      <w:r>
        <w:t xml:space="preserve">by</w:t>
      </w:r>
      <w:r>
        <w:t xml:space="preserve"> </w:t>
      </w:r>
      <w:r>
        <w:t xml:space="preserve">Race</w:t>
      </w:r>
      <w:r>
        <w:t xml:space="preserve"> </w:t>
      </w:r>
      <w:r>
        <w:t xml:space="preserve">and</w:t>
      </w:r>
      <w:r>
        <w:t xml:space="preserve"> </w:t>
      </w:r>
      <w:r>
        <w:t xml:space="preserve">Foreign-Born</w:t>
      </w:r>
      <w:r>
        <w:t xml:space="preserve"> </w:t>
      </w:r>
      <w:r>
        <w:t xml:space="preserve">Status</w:t>
      </w:r>
    </w:p>
    <w:p>
      <w:pPr>
        <w:pStyle w:val="SourceCode"/>
      </w:pPr>
      <w:r>
        <w:rPr>
          <w:rStyle w:val="VerbatimChar"/>
        </w:rPr>
        <w:t xml:space="preserve">To install your API key for use in future sessions, run this function with `install = TRUE`.</w:t>
      </w:r>
    </w:p>
    <w:bookmarkStart w:id="20" w:name="introduction"/>
    <w:p>
      <w:pPr>
        <w:pStyle w:val="Heading1"/>
      </w:pPr>
      <w:r>
        <w:t xml:space="preserve">1. Introduction</w:t>
      </w:r>
    </w:p>
    <w:p>
      <w:pPr>
        <w:pStyle w:val="FirstParagraph"/>
      </w:pPr>
      <w:r>
        <w:t xml:space="preserve">Health Insurance is good, but there are disparities. This exercise looks at data from the 2021 release of the American Community Survey for King in Washington to examine spatial trends in lack of health care coverage for individuals aged 35-44, and patterns of association with Black identity and foreign born status.</w:t>
      </w:r>
    </w:p>
    <w:p>
      <w:pPr>
        <w:pStyle w:val="BodyText"/>
      </w:pPr>
      <w:r>
        <w:t xml:space="preserve">Consider this paper to be a counterpart to</w:t>
      </w:r>
      <w:r>
        <w:t xml:space="preserve"> </w:t>
      </w:r>
      <w:r>
        <w:t xml:space="preserve">Thamer, Richard, Casebeer, &amp; Ray (1997)</w:t>
      </w:r>
      <w:r>
        <w:t xml:space="preserve">.</w:t>
      </w:r>
    </w:p>
    <w:bookmarkEnd w:id="20"/>
    <w:bookmarkStart w:id="24" w:name="data"/>
    <w:p>
      <w:pPr>
        <w:pStyle w:val="Heading1"/>
      </w:pPr>
      <w:r>
        <w:t xml:space="preserve">2. Data</w:t>
      </w:r>
    </w:p>
    <w:p>
      <w:pPr>
        <w:pStyle w:val="FirstParagraph"/>
      </w:pPr>
      <w:r>
        <w:t xml:space="preserve">We pull data from the American Community Survey 5-Year release on:</w:t>
      </w:r>
    </w:p>
    <w:p>
      <w:pPr>
        <w:numPr>
          <w:ilvl w:val="0"/>
          <w:numId w:val="1001"/>
        </w:numPr>
        <w:pStyle w:val="Compact"/>
      </w:pPr>
      <w:r>
        <w:t xml:space="preserve">Health Insurance Coverage By Sex And Age (</w:t>
      </w:r>
      <w:hyperlink r:id="rId21">
        <w:r>
          <w:rPr>
            <w:rStyle w:val="Hyperlink"/>
          </w:rPr>
          <w:t xml:space="preserve">Table B27001</w:t>
        </w:r>
      </w:hyperlink>
      <w:r>
        <w:t xml:space="preserve">)</w:t>
      </w:r>
    </w:p>
    <w:p>
      <w:pPr>
        <w:numPr>
          <w:ilvl w:val="0"/>
          <w:numId w:val="1001"/>
        </w:numPr>
        <w:pStyle w:val="Compact"/>
      </w:pPr>
      <w:r>
        <w:t xml:space="preserve">Hispanic Or Latino Origin By Race (</w:t>
      </w:r>
      <w:hyperlink r:id="rId22">
        <w:r>
          <w:rPr>
            <w:rStyle w:val="Hyperlink"/>
          </w:rPr>
          <w:t xml:space="preserve">Table B03002</w:t>
        </w:r>
      </w:hyperlink>
      <w:r>
        <w:t xml:space="preserve">)</w:t>
      </w:r>
    </w:p>
    <w:p>
      <w:pPr>
        <w:numPr>
          <w:ilvl w:val="0"/>
          <w:numId w:val="1001"/>
        </w:numPr>
        <w:pStyle w:val="Compact"/>
      </w:pPr>
      <w:r>
        <w:t xml:space="preserve">Sex By Age For the Foreign-Born Population (</w:t>
      </w:r>
      <w:hyperlink r:id="rId23">
        <w:r>
          <w:rPr>
            <w:rStyle w:val="Hyperlink"/>
          </w:rPr>
          <w:t xml:space="preserve">Table B05013</w:t>
        </w:r>
      </w:hyperlink>
      <w:r>
        <w:t xml:space="preserve">)</w:t>
      </w:r>
    </w:p>
    <w:p>
      <w:pPr>
        <w:pStyle w:val="SourceCode"/>
      </w:pPr>
      <w:r>
        <w:rPr>
          <w:rStyle w:val="VerbatimChar"/>
        </w:rPr>
        <w:t xml:space="preserve">Getting data from the 2017-2021 5-year ACS</w:t>
      </w:r>
    </w:p>
    <w:p>
      <w:pPr>
        <w:pStyle w:val="SourceCode"/>
      </w:pPr>
      <w:r>
        <w:rPr>
          <w:rStyle w:val="VerbatimChar"/>
        </w:rPr>
        <w:t xml:space="preserve">Retrieving data for the year 2020</w:t>
      </w:r>
    </w:p>
    <w:bookmarkEnd w:id="24"/>
    <w:bookmarkStart w:id="39" w:name="sec-maps"/>
    <w:p>
      <w:pPr>
        <w:pStyle w:val="Heading1"/>
      </w:pPr>
      <w:r>
        <w:t xml:space="preserve">3. Spatial Patterns in King County</w:t>
      </w:r>
    </w:p>
    <w:bookmarkStart w:id="29" w:name="uninsured-status"/>
    <w:p>
      <w:pPr>
        <w:pStyle w:val="Heading2"/>
      </w:pPr>
      <w:r>
        <w:t xml:space="preserve">3.1 Uninsured Status</w:t>
      </w:r>
    </w:p>
    <w:p>
      <w:pPr>
        <w:pStyle w:val="FirstParagraph"/>
      </w:pPr>
      <w:r>
        <w:t xml:space="preserve">Figure</w:t>
      </w:r>
      <w:r>
        <w:t xml:space="preserve"> </w:t>
      </w:r>
      <w:hyperlink w:anchor="fig-uninsured">
        <w:r>
          <w:rPr>
            <w:rStyle w:val="Hyperlink"/>
          </w:rPr>
          <w:t xml:space="preserve">Figure 1</w:t>
        </w:r>
      </w:hyperlink>
      <w:r>
        <w:t xml:space="preserve"> </w:t>
      </w:r>
      <w:r>
        <w:t xml:space="preserve">shows rates of uninsured populations age 35-44 in census tracts across King.</w:t>
      </w:r>
    </w:p>
    <w:tbl>
      <w:tblPr>
        <w:tblStyle w:val="Table"/>
        <w:tblW w:type="pct" w:w="5000"/>
        <w:tblLook w:firstRow="0" w:lastRow="0" w:firstColumn="0" w:lastColumn="0" w:noHBand="0" w:noVBand="0" w:val="0000"/>
      </w:tblPr>
      <w:tblGrid>
        <w:gridCol w:w="7920"/>
      </w:tblGrid>
      <w:tr>
        <w:tc>
          <w:tcPr/>
          <w:bookmarkStart w:id="28" w:name="fig-uninsured"/>
          <w:p>
            <w:pPr>
              <w:pStyle w:val="Figure"/>
              <w:jc w:val="center"/>
            </w:pPr>
            <w:r>
              <w:drawing>
                <wp:inline>
                  <wp:extent cx="3696101" cy="3696101"/>
                  <wp:effectExtent b="0" l="0" r="0" t="0"/>
                  <wp:docPr descr="" title="" id="26" name="Picture"/>
                  <a:graphic>
                    <a:graphicData uri="http://schemas.openxmlformats.org/drawingml/2006/picture">
                      <pic:pic>
                        <pic:nvPicPr>
                          <pic:cNvPr descr="health-care-coverage-by-community-stats_files/figure-docx/fig-uninsured-1.png" id="27"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Percent Uninsured in King County, Age 35-44</w:t>
            </w:r>
          </w:p>
          <w:bookmarkEnd w:id="28"/>
        </w:tc>
      </w:tr>
    </w:tbl>
    <w:bookmarkEnd w:id="29"/>
    <w:bookmarkStart w:id="38" w:name="race-and-foreign-born-identities"/>
    <w:p>
      <w:pPr>
        <w:pStyle w:val="Heading2"/>
      </w:pPr>
      <w:r>
        <w:t xml:space="preserve">3.2 Race and Foreign-Born Identities</w:t>
      </w:r>
    </w:p>
    <w:p>
      <w:pPr>
        <w:pStyle w:val="FirstParagraph"/>
      </w:pPr>
      <w:r>
        <w:t xml:space="preserve">Next we examine other community characteristics.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3" w:name="fig-demographics-1"/>
                <w:p>
                  <w:pPr>
                    <w:pStyle w:val="Figure"/>
                    <w:jc w:val="center"/>
                    <w:jc w:val="center"/>
                  </w:pPr>
                  <w:r>
                    <w:drawing>
                      <wp:inline>
                        <wp:extent cx="2971800" cy="2377440"/>
                        <wp:effectExtent b="0" l="0" r="0" t="0"/>
                        <wp:docPr descr="" title="" id="31" name="Picture"/>
                        <a:graphic>
                          <a:graphicData uri="http://schemas.openxmlformats.org/drawingml/2006/picture">
                            <pic:pic>
                              <pic:nvPicPr>
                                <pic:cNvPr descr="health-care-coverage-by-community-stats_files/figure-docx/fig-demographics-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Percent Black Non-Hispanic</w:t>
                  </w:r>
                </w:p>
                <w:bookmarkEnd w:id="33"/>
              </w:tc>
            </w:tr>
          </w:tbl>
          <w:p/>
        </w:tc>
        <w:tc>
          <w:tcPr/>
          <w:tbl>
            <w:tblPr>
              <w:tblStyle w:val="Table"/>
              <w:tblW w:type="pct" w:w="5000"/>
              <w:tblLook w:firstRow="0" w:lastRow="0" w:firstColumn="0" w:lastColumn="0" w:noHBand="0" w:noVBand="0" w:val="0000"/>
            </w:tblPr>
            <w:tblGrid>
              <w:gridCol w:w="7920"/>
            </w:tblGrid>
            <w:tr>
              <w:tc>
                <w:tcPr/>
                <w:bookmarkStart w:id="37" w:name="fig-demographics-2"/>
                <w:p>
                  <w:pPr>
                    <w:pStyle w:val="Figure"/>
                    <w:jc w:val="center"/>
                    <w:jc w:val="center"/>
                  </w:pPr>
                  <w:r>
                    <w:drawing>
                      <wp:inline>
                        <wp:extent cx="2971800" cy="2377440"/>
                        <wp:effectExtent b="0" l="0" r="0" t="0"/>
                        <wp:docPr descr="" title="" id="35" name="Picture"/>
                        <a:graphic>
                          <a:graphicData uri="http://schemas.openxmlformats.org/drawingml/2006/picture">
                            <pic:pic>
                              <pic:nvPicPr>
                                <pic:cNvPr descr="health-care-coverage-by-community-stats_files/figure-docx/fig-demographics-2.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Percent Foreign Born, Age 35-44</w:t>
                  </w:r>
                </w:p>
                <w:bookmarkEnd w:id="37"/>
              </w:tc>
            </w:tr>
          </w:tbl>
          <w:p/>
        </w:tc>
      </w:tr>
    </w:tbl>
    <w:p>
      <w:pPr>
        <w:pStyle w:val="BodyText"/>
      </w:pPr>
      <w:pPr>
        <w:spacing w:before="200"/>
        <w:pStyle w:val="ImageCaption"/>
      </w:pPr>
      <w:r>
        <w:t xml:space="preserve">Figure 2: Demographic Characteristics of King County</w:t>
      </w:r>
    </w:p>
    <w:p>
      <w:pPr>
        <w:pStyle w:val="BodyText"/>
      </w:pPr>
      <w:r>
        <w:t xml:space="preserve">Maps</w:t>
      </w:r>
      <w:r>
        <w:t xml:space="preserve"> </w:t>
      </w:r>
      <w:hyperlink w:anchor="fig-demographics-1">
        <w:r>
          <w:rPr>
            <w:rStyle w:val="Hyperlink"/>
          </w:rPr>
          <w:t xml:space="preserve">Figure 2 (a)</w:t>
        </w:r>
      </w:hyperlink>
      <w:r>
        <w:t xml:space="preserve"> </w:t>
      </w:r>
      <w:r>
        <w:t xml:space="preserve">and</w:t>
      </w:r>
      <w:r>
        <w:t xml:space="preserve"> </w:t>
      </w:r>
      <w:hyperlink w:anchor="fig-demographics-2">
        <w:r>
          <w:rPr>
            <w:rStyle w:val="Hyperlink"/>
          </w:rPr>
          <w:t xml:space="preserve">Figure 2 (b)</w:t>
        </w:r>
      </w:hyperlink>
      <w:r>
        <w:t xml:space="preserve"> </w:t>
      </w:r>
      <w:r>
        <w:t xml:space="preserve">show distinctive patterns.</w:t>
      </w:r>
    </w:p>
    <w:bookmarkEnd w:id="38"/>
    <w:bookmarkEnd w:id="39"/>
    <w:bookmarkStart w:id="41" w:name="statistical-associations"/>
    <w:p>
      <w:pPr>
        <w:pStyle w:val="Heading1"/>
      </w:pPr>
      <w:r>
        <w:t xml:space="preserve">4. Statistical Associations</w:t>
      </w:r>
    </w:p>
    <w:p>
      <w:pPr>
        <w:pStyle w:val="FirstParagraph"/>
      </w:pPr>
      <w:r>
        <w:t xml:space="preserve">We use statistical regression methods to examine the associations between the rate of uninsured individuals and the community characteristics displayed in section</w:t>
      </w:r>
      <w:r>
        <w:t xml:space="preserve"> </w:t>
      </w:r>
      <w:hyperlink w:anchor="sec-maps">
        <w:r>
          <w:rPr>
            <w:rStyle w:val="Hyperlink"/>
          </w:rPr>
          <w:t xml:space="preserve">Section 3</w:t>
        </w:r>
      </w:hyperlink>
      <w:r>
        <w:t xml:space="preserve">.</w:t>
      </w:r>
    </w:p>
    <w:p>
      <w:pPr>
        <w:pStyle w:val="BodyText"/>
      </w:pPr>
      <w:r>
        <w:t xml:space="preserve">The equation for Ordinary Least Squares is:</w:t>
      </w:r>
    </w:p>
    <w:p>
      <w:pPr>
        <w:pStyle w:val="BodyText"/>
      </w:pPr>
      <w:bookmarkStart w:id="40" w:name="eq-ols"/>
      <m:oMathPara>
        <m:oMathParaPr>
          <m:jc m:val="center"/>
        </m:oMathParaPr>
        <m:oMath>
          <m:acc>
            <m:accPr>
              <m:chr m:val="̂"/>
            </m:accPr>
            <m:e>
              <m:r>
                <m:t>β</m:t>
              </m:r>
            </m:e>
          </m:acc>
          <m:r>
            <m:rPr>
              <m:sty m:val="p"/>
            </m:rPr>
            <m:t>=</m:t>
          </m:r>
          <m:sSup>
            <m:e>
              <m:d>
                <m:dPr>
                  <m:begChr m:val="("/>
                  <m:endChr m:val=")"/>
                  <m:sepChr m:val=""/>
                  <m:grow/>
                </m:dPr>
                <m:e>
                  <m:sSup>
                    <m:e>
                      <m:r>
                        <m:t>X</m:t>
                      </m:r>
                    </m:e>
                    <m:sup>
                      <m:r>
                        <m:rPr>
                          <m:sty m:val="p"/>
                        </m:rPr>
                        <m:t>′</m:t>
                      </m:r>
                    </m:sup>
                  </m:sSup>
                  <m:r>
                    <m:t>X</m:t>
                  </m:r>
                </m:e>
              </m:d>
            </m:e>
            <m:sup>
              <m:r>
                <m:rPr>
                  <m:sty m:val="p"/>
                </m:rPr>
                <m:t>−</m:t>
              </m:r>
              <m:r>
                <m:t>1</m:t>
              </m:r>
            </m:sup>
          </m:sSup>
          <m:sSup>
            <m:e>
              <m:r>
                <m:t>X</m:t>
              </m:r>
            </m:e>
            <m:sup>
              <m:r>
                <m:rPr>
                  <m:sty m:val="p"/>
                </m:rPr>
                <m:t>′</m:t>
              </m:r>
            </m:sup>
          </m:sSup>
          <m:r>
            <m:t>Y</m:t>
          </m:r>
          <m:r>
            <m:t>  </m:t>
          </m:r>
          <m:d>
            <m:dPr>
              <m:begChr m:val="("/>
              <m:endChr m:val=")"/>
              <m:sepChr m:val=""/>
              <m:grow/>
            </m:dPr>
            <m:e>
              <m:r>
                <m:t>1</m:t>
              </m:r>
            </m:e>
          </m:d>
        </m:oMath>
      </m:oMathPara>
      <w:bookmarkEnd w:id="40"/>
    </w:p>
    <w:p>
      <w:pPr>
        <w:pStyle w:val="FirstParagraph"/>
      </w:pPr>
      <w:hyperlink w:anchor="eq-ols">
        <w:r>
          <w:rPr>
            <w:rStyle w:val="Hyperlink"/>
          </w:rPr>
          <w:t xml:space="preserve">Equation 1</w:t>
        </w:r>
      </w:hyperlink>
      <w:r>
        <w:t xml:space="preserve"> </w:t>
      </w:r>
      <w:r>
        <w:t xml:space="preserve">is a classic.</w:t>
      </w:r>
    </w:p>
    <w:p>
      <w:pPr>
        <w:pStyle w:val="BodyText"/>
      </w:pPr>
      <w:r>
        <w:t xml:space="preserve">Table 1 shows that community composition in both foreign-born status and black non-Hispanic identity are significantly related to community uninsured status.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b6839a6-c706-436b-8c6f-867e7f5b3a44" w:name="tbl-r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6839a6-c706-436b-8c6f-867e7f5b3a44"/>
      <w:r>
        <w:rPr>
          <w:rFonts/>
          <w:b w:val="true"/>
        </w:rPr>
        <w:t xml:space="preserve">: </w:t>
      </w:r>
      <w:r>
        <w:t xml:space="preserve">Title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t-stat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Foreign Born, Age 35-44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Non-Hispanic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bookmarkEnd w:id="41"/>
    <w:bookmarkStart w:id="45" w:name="references"/>
    <w:p>
      <w:pPr>
        <w:pStyle w:val="Heading1"/>
      </w:pPr>
      <w:r>
        <w:t xml:space="preserve">5. References</w:t>
      </w:r>
    </w:p>
    <w:bookmarkStart w:id="44" w:name="refs"/>
    <w:bookmarkStart w:id="43" w:name="ref-thamer_health_1997"/>
    <w:p>
      <w:pPr>
        <w:pStyle w:val="Bibliography"/>
      </w:pPr>
      <w:r>
        <w:t xml:space="preserve">Thamer, M., Richard, C., Casebeer, A. W., &amp; Ray, N. F. (1997). Health insurance coverage among foreign-born</w:t>
      </w:r>
      <w:r>
        <w:t xml:space="preserve"> </w:t>
      </w:r>
      <w:r>
        <w:t xml:space="preserve">US</w:t>
      </w:r>
      <w:r>
        <w:t xml:space="preserve"> </w:t>
      </w:r>
      <w:r>
        <w:t xml:space="preserve">residents: The impact of race, ethnicity, and length of residence.</w:t>
      </w:r>
      <w:r>
        <w:t xml:space="preserve"> </w:t>
      </w:r>
      <w:r>
        <w:rPr>
          <w:iCs/>
          <w:i/>
        </w:rPr>
        <w:t xml:space="preserve">American Journal of Public Health</w:t>
      </w:r>
      <w:r>
        <w:t xml:space="preserve">,</w:t>
      </w:r>
      <w:r>
        <w:t xml:space="preserve"> </w:t>
      </w:r>
      <w:r>
        <w:rPr>
          <w:iCs/>
          <w:i/>
        </w:rPr>
        <w:t xml:space="preserve">87</w:t>
      </w:r>
      <w:r>
        <w:t xml:space="preserve">(1), 96–102.</w:t>
      </w:r>
      <w:r>
        <w:t xml:space="preserve"> </w:t>
      </w:r>
      <w:hyperlink r:id="rId42">
        <w:r>
          <w:rPr>
            <w:rStyle w:val="Hyperlink"/>
          </w:rPr>
          <w:t xml:space="preserve">https://doi.org/10.2105/AJPH.87.1.96</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42" Target="https://doi.org/10.2105/AJPH.87.1.96" TargetMode="External" /><Relationship Type="http://schemas.openxmlformats.org/officeDocument/2006/relationships/hyperlink" Id="rId22" Target="https://www.socialexplorer.com/data/ACS2021_5yr/metadata/?ds=ACS21_5yr&amp;table=B03002" TargetMode="External" /><Relationship Type="http://schemas.openxmlformats.org/officeDocument/2006/relationships/hyperlink" Id="rId23" Target="https://www.socialexplorer.com/data/ACS2021_5yr/metadata/?ds=ACS21_5yr&amp;table=B05013" TargetMode="External" /><Relationship Type="http://schemas.openxmlformats.org/officeDocument/2006/relationships/hyperlink" Id="rId21" Target="https://www.socialexplorer.com/data/ACS2021_5yr/metadata/?ds=ACS21_5yr&amp;table=B27010"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2105/AJPH.87.1.96" TargetMode="External" /><Relationship Type="http://schemas.openxmlformats.org/officeDocument/2006/relationships/hyperlink" Id="rId22" Target="https://www.socialexplorer.com/data/ACS2021_5yr/metadata/?ds=ACS21_5yr&amp;table=B03002" TargetMode="External" /><Relationship Type="http://schemas.openxmlformats.org/officeDocument/2006/relationships/hyperlink" Id="rId23" Target="https://www.socialexplorer.com/data/ACS2021_5yr/metadata/?ds=ACS21_5yr&amp;table=B05013" TargetMode="External" /><Relationship Type="http://schemas.openxmlformats.org/officeDocument/2006/relationships/hyperlink" Id="rId21" Target="https://www.socialexplorer.com/data/ACS2021_5yr/metadata/?ds=ACS21_5yr&amp;table=B27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Community-Level Health Insurance Coverage by Race and Foreign-Born Status</dc:title>
  <dc:creator/>
  <cp:keywords/>
  <dcterms:created xsi:type="dcterms:W3CDTF">2023-04-24T17:57:00Z</dcterms:created>
  <dcterms:modified xsi:type="dcterms:W3CDTF">2023-04-24T17:57:00Z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health-insurance-citations.bib</vt:lpwstr>
  </property>
  <property fmtid="{D5CDD505-2E9C-101B-9397-08002B2CF9AE}" pid="4" name="csl">
    <vt:lpwstr>apa_6th.csl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