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Teacher</w:t>
      </w:r>
      <w:r>
        <w:t xml:space="preserve"> </w:t>
      </w:r>
      <w:r>
        <w:t xml:space="preserve">Experience</w:t>
      </w:r>
      <w:r>
        <w:t xml:space="preserve"> </w:t>
      </w:r>
      <w:r>
        <w:t xml:space="preserve">and</w:t>
      </w:r>
      <w:r>
        <w:t xml:space="preserve"> </w:t>
      </w:r>
      <w:r>
        <w:t xml:space="preserve">Pay,</w:t>
      </w:r>
      <w:r>
        <w:t xml:space="preserve"> </w:t>
      </w:r>
      <w:r>
        <w:t xml:space="preserve">and</w:t>
      </w:r>
      <w:r>
        <w:t xml:space="preserve"> </w:t>
      </w:r>
      <w:r>
        <w:t xml:space="preserve">Student</w:t>
      </w:r>
      <w:r>
        <w:t xml:space="preserve"> </w:t>
      </w:r>
      <w:r>
        <w:t xml:space="preserve">Tested</w:t>
      </w:r>
      <w:r>
        <w:t xml:space="preserve"> </w:t>
      </w:r>
      <w:r>
        <w:t xml:space="preserve">Achievement</w:t>
      </w:r>
    </w:p>
    <w:p>
      <w:pPr>
        <w:pStyle w:val="Author"/>
      </w:pPr>
      <w:r>
        <w:t xml:space="preserve">Nick</w:t>
      </w:r>
      <w:r>
        <w:t xml:space="preserve"> </w:t>
      </w:r>
      <w:r>
        <w:t xml:space="preserve">Mader</w:t>
      </w:r>
      <w:r>
        <w:t xml:space="preserve"> </w:t>
      </w:r>
      <w:r>
        <w:t xml:space="preserve">(nsmader@gmail.com)</w:t>
      </w:r>
    </w:p>
    <w:bookmarkStart w:id="23" w:name="background"/>
    <w:p>
      <w:pPr>
        <w:pStyle w:val="Heading1"/>
      </w:pPr>
      <w:r>
        <w:t xml:space="preserve">Background</w:t>
      </w:r>
    </w:p>
    <w:p>
      <w:pPr>
        <w:pStyle w:val="FirstParagraph"/>
      </w:pPr>
      <w:r>
        <w:t xml:space="preserve">This project uses public, aggregate data from Massachusetts to demonstrate the use of open-source tools including:</w:t>
      </w:r>
    </w:p>
    <w:p>
      <w:pPr>
        <w:numPr>
          <w:ilvl w:val="0"/>
          <w:numId w:val="1001"/>
        </w:numPr>
        <w:pStyle w:val="Compact"/>
      </w:pPr>
      <w:r>
        <w:t xml:space="preserve">the</w:t>
      </w:r>
      <w:r>
        <w:t xml:space="preserve"> </w:t>
      </w:r>
      <w:hyperlink r:id="rId20">
        <w:r>
          <w:rPr>
            <w:rStyle w:val="Hyperlink"/>
          </w:rPr>
          <w:t xml:space="preserve">R programming language</w:t>
        </w:r>
      </w:hyperlink>
      <w:r>
        <w:t xml:space="preserve"> </w:t>
      </w:r>
      <w:r>
        <w:t xml:space="preserve">for reading, preparing, visualizing, and analyzing data;</w:t>
      </w:r>
    </w:p>
    <w:p>
      <w:pPr>
        <w:numPr>
          <w:ilvl w:val="0"/>
          <w:numId w:val="1001"/>
        </w:numPr>
        <w:pStyle w:val="Compact"/>
      </w:pPr>
      <w:hyperlink r:id="rId21">
        <w:r>
          <w:rPr>
            <w:rStyle w:val="Hyperlink"/>
          </w:rPr>
          <w:t xml:space="preserve">Quarto</w:t>
        </w:r>
      </w:hyperlink>
      <w:r>
        <w:t xml:space="preserve"> </w:t>
      </w:r>
      <w:r>
        <w:t xml:space="preserve">for formatting and generation of technical documents using principles of reproducible research; and</w:t>
      </w:r>
    </w:p>
    <w:p>
      <w:pPr>
        <w:numPr>
          <w:ilvl w:val="0"/>
          <w:numId w:val="1001"/>
        </w:numPr>
        <w:pStyle w:val="Compact"/>
      </w:pPr>
      <w:hyperlink r:id="rId22">
        <w:r>
          <w:rPr>
            <w:rStyle w:val="Hyperlink"/>
          </w:rPr>
          <w:t xml:space="preserve">git</w:t>
        </w:r>
      </w:hyperlink>
      <w:r>
        <w:t xml:space="preserve">, for version control.</w:t>
      </w:r>
    </w:p>
    <w:p>
      <w:pPr>
        <w:pStyle w:val="FirstParagraph"/>
      </w:pPr>
      <w:r>
        <w:t xml:space="preserve">All of the materials for producing this report, and for making use of version control in doing so, can be found on GitHub at the following link: https://github.com/nsmader/repro-research-demo.</w:t>
      </w:r>
    </w:p>
    <w:bookmarkEnd w:id="23"/>
    <w:bookmarkStart w:id="25" w:name="literature"/>
    <w:p>
      <w:pPr>
        <w:pStyle w:val="Heading1"/>
      </w:pPr>
      <w:r>
        <w:t xml:space="preserve">Literature</w:t>
      </w:r>
    </w:p>
    <w:p>
      <w:pPr>
        <w:pStyle w:val="FirstParagraph"/>
      </w:pPr>
      <w:r>
        <w:t xml:space="preserve">The education literature includes several rigorous studies of the impact of teacher experience on student achievement, including</w:t>
      </w:r>
      <w:r>
        <w:t xml:space="preserve"> </w:t>
      </w:r>
      <w:r>
        <w:t xml:space="preserve">Huang &amp; Moon (2009)</w:t>
      </w:r>
      <w:r>
        <w:t xml:space="preserve"> </w:t>
      </w:r>
      <w:r>
        <w:t xml:space="preserve">and</w:t>
      </w:r>
      <w:r>
        <w:t xml:space="preserve"> </w:t>
      </w:r>
      <w:r>
        <w:t xml:space="preserve">Ladd &amp; Sorensen (2017)</w:t>
      </w:r>
      <w:r>
        <w:t xml:space="preserve">. This analysis is not one of them. Here, we explore district aggregate patterns in Massachusetts–which entails the strong possibility of</w:t>
      </w:r>
      <w:r>
        <w:t xml:space="preserve"> </w:t>
      </w:r>
      <w:hyperlink r:id="rId24">
        <w:r>
          <w:rPr>
            <w:rStyle w:val="Hyperlink"/>
          </w:rPr>
          <w:t xml:space="preserve">ecological fallacy</w:t>
        </w:r>
      </w:hyperlink>
      <w:r>
        <w:t xml:space="preserve">–but for the sake of demonstrating the use of the tools mentioned above, while relying on publicly accessible data.</w:t>
      </w:r>
    </w:p>
    <w:bookmarkEnd w:id="25"/>
    <w:bookmarkStart w:id="43" w:name="data"/>
    <w:p>
      <w:pPr>
        <w:pStyle w:val="Heading1"/>
      </w:pPr>
      <w:r>
        <w:t xml:space="preserve">Data</w:t>
      </w:r>
    </w:p>
    <w:p>
      <w:pPr>
        <w:pStyle w:val="FirstParagraph"/>
      </w:pPr>
      <w:r>
        <w:t xml:space="preserve">Data is drawn from the Massachusetts state Department of Education.</w:t>
      </w:r>
    </w:p>
    <w:bookmarkStart w:id="42" w:name="district-characteristics"/>
    <w:p>
      <w:pPr>
        <w:pStyle w:val="Heading2"/>
      </w:pPr>
      <w:r>
        <w:t xml:space="preserve">District Characteristics</w:t>
      </w:r>
    </w:p>
    <w:p>
      <w:pPr>
        <w:pStyle w:val="FirstParagraph"/>
      </w:pPr>
      <w:r>
        <w:t xml:space="preserve">Univariate distribution plots show that percentages of students meeting or exceeding proficiency standards in English and Language Arts (ELA) and Mathematics, as well as the percent of teachers classified as experienced and average pay have wide distributions across the state of Massachusetts. There is a long left tail in the distribution of rates of teacher experience across districts, but there is notable variation between 75-100%.</w:t>
      </w:r>
    </w:p>
    <w:p>
      <w:pPr>
        <w:pStyle w:val="BodyText"/>
      </w:pPr>
      <w:r>
        <w:drawing>
          <wp:inline>
            <wp:extent cx="4620126" cy="3696101"/>
            <wp:effectExtent b="0" l="0" r="0" t="0"/>
            <wp:docPr descr="" title="" id="27" name="Picture"/>
            <a:graphic>
              <a:graphicData uri="http://schemas.openxmlformats.org/drawingml/2006/picture">
                <pic:pic>
                  <pic:nvPicPr>
                    <pic:cNvPr descr="manuscript--teacher-credentials-and-student-achievement_files/figure-docx/univariate%20distribution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bivariate distributions between the percent of students meeting/exceeding proficiency standards for different subjects and teacher experience shows strong positive relationships.</w:t>
      </w:r>
    </w:p>
    <w:p>
      <w:pPr>
        <w:pStyle w:val="BodyText"/>
      </w:pPr>
      <w:r>
        <w:drawing>
          <wp:inline>
            <wp:extent cx="4620126" cy="3696101"/>
            <wp:effectExtent b="0" l="0" r="0" t="0"/>
            <wp:docPr descr="" title="" id="30" name="Picture"/>
            <a:graphic>
              <a:graphicData uri="http://schemas.openxmlformats.org/drawingml/2006/picture">
                <pic:pic>
                  <pic:nvPicPr>
                    <pic:cNvPr descr="manuscript--teacher-credentials-and-student-achievement_files/figure-docx/bivariate%20test%20vs%20experienc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districts vary widely by poverty rate.</w:t>
      </w:r>
      <w:r>
        <w:t xml:space="preserve"> </w:t>
      </w:r>
      <w:hyperlink w:anchor="fig-pov-maps">
        <w:r>
          <w:rPr>
            <w:rStyle w:val="Hyperlink"/>
          </w:rPr>
          <w:t xml:space="preserve">Figure 1</w:t>
        </w:r>
      </w:hyperlink>
      <w:r>
        <w:t xml:space="preserve"> </w:t>
      </w:r>
      <w:r>
        <w:t xml:space="preserve">respectively shows district poverty rates across the state (</w:t>
      </w:r>
      <w:hyperlink w:anchor="fig-pov-maps-1">
        <w:r>
          <w:rPr>
            <w:rStyle w:val="Hyperlink"/>
          </w:rPr>
          <w:t xml:space="preserve">Figure 1 (a)</w:t>
        </w:r>
      </w:hyperlink>
      <w:r>
        <w:t xml:space="preserve">) and with detail in the Boston area (</w:t>
      </w:r>
      <w:hyperlink w:anchor="fig-pov-maps-2">
        <w:r>
          <w:rPr>
            <w:rStyle w:val="Hyperlink"/>
          </w:rPr>
          <w:t xml:space="preserve">Figure 1 (b)</w:t>
        </w:r>
      </w:hyperlink>
      <w:r>
        <w:t xml:space="preserve">).</w:t>
      </w:r>
    </w:p>
    <w:tbl>
      <w:tblPr>
        <w:tblStyle w:val="Table"/>
        <w:tblW w:type="pct" w:w="5000"/>
        <w:tblLook w:firstRow="0" w:lastRow="0" w:firstColumn="0" w:lastColumn="0" w:noHBand="0" w:noVBand="0" w:val="0000"/>
        <w:jc w:val="start"/>
      </w:tblPr>
      <w:tblGrid>
        <w:gridCol w:w="7920"/>
      </w:tblGrid>
      <w:tr>
        <w:tc>
          <w:tcPr/>
          <w:bookmarkStart w:id="40" w:name="fig-pov-maps"/>
          <w:tbl>
            <w:tblPr>
              <w:tblStyle w:val="Table"/>
              <w:tblW w:type="pct" w:w="5000"/>
              <w:tblLook w:firstRow="0" w:lastRow="0" w:firstColumn="0" w:lastColumn="0" w:noHBand="0" w:noVBand="0" w:val="0000"/>
              <w:jc w:val="start"/>
            </w:tblPr>
            <w:tblGrid>
              <w:gridCol w:w="7920"/>
            </w:tblGrid>
            <w:tr>
              <w:tc>
                <w:tcPr/>
                <w:bookmarkStart w:id="35" w:name="fig-pov-maps-1"/>
                <w:p>
                  <w:pPr>
                    <w:jc w:val="center"/>
                    <w:jc w:val="center"/>
                  </w:pPr>
                  <w:r>
                    <w:drawing>
                      <wp:inline>
                        <wp:extent cx="4620126" cy="3696101"/>
                        <wp:effectExtent b="0" l="0" r="0" t="0"/>
                        <wp:docPr descr="" title="" id="33" name="Picture"/>
                        <a:graphic>
                          <a:graphicData uri="http://schemas.openxmlformats.org/drawingml/2006/picture">
                            <pic:pic>
                              <pic:nvPicPr>
                                <pic:cNvPr descr="manuscript--teacher-credentials-and-student-achievement_files/figure-docx/fig-pov-map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State-Wide</w:t>
                  </w:r>
                </w:p>
                <w:bookmarkEnd w:id="35"/>
              </w:tc>
            </w:tr>
          </w:tbl>
          <w:tbl>
            <w:tblPr>
              <w:tblStyle w:val="Table"/>
              <w:tblW w:type="pct" w:w="5000"/>
              <w:tblLook w:firstRow="0" w:lastRow="0" w:firstColumn="0" w:lastColumn="0" w:noHBand="0" w:noVBand="0" w:val="0000"/>
              <w:jc w:val="start"/>
            </w:tblPr>
            <w:tblGrid>
              <w:gridCol w:w="7920"/>
            </w:tblGrid>
            <w:tr>
              <w:tc>
                <w:tcPr/>
                <w:bookmarkStart w:id="39" w:name="fig-pov-maps-2"/>
                <w:p>
                  <w:pPr>
                    <w:jc w:val="center"/>
                    <w:jc w:val="center"/>
                  </w:pPr>
                  <w:r>
                    <w:drawing>
                      <wp:inline>
                        <wp:extent cx="4620126" cy="3696101"/>
                        <wp:effectExtent b="0" l="0" r="0" t="0"/>
                        <wp:docPr descr="" title="" id="37" name="Picture"/>
                        <a:graphic>
                          <a:graphicData uri="http://schemas.openxmlformats.org/drawingml/2006/picture">
                            <pic:pic>
                              <pic:nvPicPr>
                                <pic:cNvPr descr="manuscript--teacher-credentials-and-student-achievement_files/figure-docx/fig-pov-maps-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Metro Boston</w:t>
                  </w:r>
                </w:p>
                <w:bookmarkEnd w:id="39"/>
              </w:tc>
            </w:tr>
          </w:tbl>
          <w:p>
            <w:pPr>
              <w:jc w:val="center"/>
            </w:pPr>
            <w:pPr>
              <w:jc w:val="start"/>
              <w:spacing w:before="200"/>
              <w:pStyle w:val="ImageCaption"/>
            </w:pPr>
            <w:r>
              <w:t xml:space="preserve">Figure 1: Poverty Rate for Massachusetts School Districts</w:t>
            </w:r>
          </w:p>
          <w:bookmarkEnd w:id="40"/>
        </w:tc>
      </w:tr>
    </w:tbl>
    <w:p>
      <w:pPr>
        <w:pStyle w:val="BodyText"/>
      </w:pPr>
      <w:hyperlink w:anchor="tbl-stats-by-pov">
        <w:r>
          <w:rPr>
            <w:rStyle w:val="Hyperlink"/>
          </w:rPr>
          <w:t xml:space="preserve">Table 1</w:t>
        </w:r>
      </w:hyperlink>
      <w:r>
        <w:t xml:space="preserve"> </w:t>
      </w:r>
      <w:r>
        <w:t xml:space="preserve">shows a selection of district characteristics, comparing districts that are above versus below the state-wide median poverty across districts.</w:t>
      </w:r>
    </w:p>
    <w:bookmarkStart w:id="41" w:name="tbl-stats-by-pov"/>
    <w:p>
      <w:pPr>
        <w:pStyle w:val="TableCaption"/>
      </w:pPr>
      <w:r>
        <w:t xml:space="preserve">Table 1: District Statistics for Low vs High Poverty Districts</w:t>
      </w:r>
    </w:p>
    <w:tbl>
      <w:tblPr>
        <w:tblStyle w:val="Table"/>
        <w:tblW w:type="pct" w:w="5000"/>
        <w:tblLook w:firstRow="1" w:lastRow="0" w:firstColumn="0" w:lastColumn="0" w:noHBand="0" w:noVBand="0" w:val="0020"/>
        <w:jc w:val="start"/>
        <w:tblCaption w:val="Table 1: District Statistics for Low vs High Poverty Districts"/>
      </w:tblPr>
      <w:tblGrid>
        <w:gridCol w:w="2767"/>
        <w:gridCol w:w="2576"/>
        <w:gridCol w:w="2576"/>
      </w:tblGrid>
      <w:tr>
        <w:trPr>
          <w:tblHeader w:val="true"/>
        </w:trPr>
        <w:tc>
          <w:tcPr/>
          <w:p>
            <w:pPr>
              <w:pStyle w:val="Compact"/>
              <w:jc w:val="left"/>
            </w:pPr>
            <w:r>
              <w:rPr>
                <w:bCs/>
                <w:b/>
              </w:rPr>
              <w:t xml:space="preserve">Characteristic</w:t>
            </w:r>
          </w:p>
        </w:tc>
        <w:tc>
          <w:tcPr/>
          <w:p>
            <w:pPr>
              <w:pStyle w:val="Compact"/>
              <w:jc w:val="center"/>
            </w:pPr>
            <w:r>
              <w:rPr>
                <w:bCs/>
                <w:b/>
              </w:rPr>
              <w:t xml:space="preserve">Pov &lt; Median</w:t>
            </w:r>
            <w:r>
              <w:t xml:space="preserve">, N = 103</w:t>
            </w:r>
          </w:p>
        </w:tc>
        <w:tc>
          <w:tcPr/>
          <w:p>
            <w:pPr>
              <w:pStyle w:val="Compact"/>
              <w:jc w:val="center"/>
            </w:pPr>
            <w:r>
              <w:rPr>
                <w:bCs/>
                <w:b/>
              </w:rPr>
              <w:t xml:space="preserve">Pov &gt; Median</w:t>
            </w:r>
            <w:r>
              <w:t xml:space="preserve">, N = 103</w:t>
            </w:r>
          </w:p>
        </w:tc>
      </w:tr>
      <w:tr>
        <w:tc>
          <w:tcPr/>
          <w:p>
            <w:pPr>
              <w:pStyle w:val="Compact"/>
              <w:jc w:val="left"/>
            </w:pPr>
            <w:r>
              <w:t xml:space="preserve">% Meets/Exceeds – ELA</w:t>
            </w:r>
          </w:p>
        </w:tc>
        <w:tc>
          <w:tcPr/>
          <w:p>
            <w:pPr>
              <w:pStyle w:val="Compact"/>
              <w:jc w:val="center"/>
            </w:pPr>
            <w:r>
              <w:t xml:space="preserve">0.40 (0.32, 0.47)</w:t>
            </w:r>
          </w:p>
        </w:tc>
        <w:tc>
          <w:tcPr/>
          <w:p>
            <w:pPr>
              <w:pStyle w:val="Compact"/>
              <w:jc w:val="center"/>
            </w:pPr>
            <w:r>
              <w:t xml:space="preserve">0.52 (0.36, 0.64)</w:t>
            </w:r>
          </w:p>
        </w:tc>
      </w:tr>
      <w:tr>
        <w:tc>
          <w:tcPr/>
          <w:p>
            <w:pPr>
              <w:pStyle w:val="Compact"/>
              <w:jc w:val="left"/>
            </w:pPr>
            <w:r>
              <w:t xml:space="preserve">% Experienced Teachers</w:t>
            </w:r>
          </w:p>
        </w:tc>
        <w:tc>
          <w:tcPr/>
          <w:p>
            <w:pPr>
              <w:pStyle w:val="Compact"/>
              <w:jc w:val="center"/>
            </w:pPr>
            <w:r>
              <w:t xml:space="preserve">0.85 (0.81, 0.88)</w:t>
            </w:r>
          </w:p>
        </w:tc>
        <w:tc>
          <w:tcPr/>
          <w:p>
            <w:pPr>
              <w:pStyle w:val="Compact"/>
              <w:jc w:val="center"/>
            </w:pPr>
            <w:r>
              <w:t xml:space="preserve">0.87 (0.83, 0.90)</w:t>
            </w:r>
          </w:p>
        </w:tc>
      </w:tr>
      <w:tr>
        <w:tc>
          <w:tcPr/>
          <w:p>
            <w:pPr>
              <w:pStyle w:val="Compact"/>
              <w:jc w:val="left"/>
            </w:pPr>
            <w:r>
              <w:t xml:space="preserve">Average Teacher Pay ($1000s)</w:t>
            </w:r>
          </w:p>
        </w:tc>
        <w:tc>
          <w:tcPr/>
          <w:p>
            <w:pPr>
              <w:pStyle w:val="Compact"/>
              <w:jc w:val="center"/>
            </w:pPr>
            <w:r>
              <w:t xml:space="preserve">8.28 (7.54, 8.79)</w:t>
            </w:r>
          </w:p>
        </w:tc>
        <w:tc>
          <w:tcPr/>
          <w:p>
            <w:pPr>
              <w:pStyle w:val="Compact"/>
              <w:jc w:val="center"/>
            </w:pPr>
            <w:r>
              <w:t xml:space="preserve">8.49 (7.98, 9.11)</w:t>
            </w:r>
          </w:p>
        </w:tc>
      </w:tr>
      <w:tr>
        <w:tc>
          <w:tcPr/>
          <w:p>
            <w:pPr>
              <w:pStyle w:val="Compact"/>
              <w:jc w:val="left"/>
            </w:pPr>
            <w:r>
              <w:t xml:space="preserve">Student-to-Teacher Ratio</w:t>
            </w:r>
          </w:p>
        </w:tc>
        <w:tc>
          <w:tcPr/>
          <w:p>
            <w:pPr>
              <w:pStyle w:val="Compact"/>
              <w:jc w:val="center"/>
            </w:pPr>
            <w:r>
              <w:t xml:space="preserve">11.30 (10.60, 12.25)</w:t>
            </w:r>
          </w:p>
        </w:tc>
        <w:tc>
          <w:tcPr/>
          <w:p>
            <w:pPr>
              <w:pStyle w:val="Compact"/>
              <w:jc w:val="center"/>
            </w:pPr>
            <w:r>
              <w:t xml:space="preserve">12.20 (11.60, 12.90)</w:t>
            </w:r>
          </w:p>
        </w:tc>
      </w:tr>
    </w:tbl>
    <w:bookmarkEnd w:id="41"/>
    <w:bookmarkEnd w:id="42"/>
    <w:bookmarkEnd w:id="43"/>
    <w:bookmarkStart w:id="45" w:name="methods"/>
    <w:p>
      <w:pPr>
        <w:pStyle w:val="Heading1"/>
      </w:pPr>
      <w:r>
        <w:t xml:space="preserve">Methods</w:t>
      </w:r>
    </w:p>
    <w:p>
      <w:pPr>
        <w:pStyle w:val="FirstParagraph"/>
      </w:pPr>
      <w:r>
        <w:t xml:space="preserve">To explore multivariate relationships, we make use of ordinary least squares, with the closed form captured in</w:t>
      </w:r>
      <w:r>
        <w:t xml:space="preserve"> </w:t>
      </w:r>
      <w:hyperlink w:anchor="eq-ols">
        <w:r>
          <w:rPr>
            <w:rStyle w:val="Hyperlink"/>
          </w:rPr>
          <w:t xml:space="preserve">Equation 1</w:t>
        </w:r>
      </w:hyperlink>
      <w:r>
        <w:t xml:space="preserve">.</w:t>
      </w:r>
    </w:p>
    <w:p>
      <w:pPr>
        <w:pStyle w:val="BodyText"/>
      </w:pPr>
      <w:bookmarkStart w:id="44" w:name="eq-ols"/>
      <m:oMathPara>
        <m:oMathParaPr>
          <m:jc m:val="center"/>
        </m:oMathParaPr>
        <m:oMath>
          <m:acc>
            <m:accPr>
              <m:chr m:val="̂"/>
            </m:accPr>
            <m:e>
              <m:r>
                <m:t>β</m:t>
              </m:r>
            </m:e>
          </m:acc>
          <m:r>
            <m:rPr>
              <m:sty m:val="p"/>
            </m:rPr>
            <m:t>=</m:t>
          </m:r>
          <m:sSup>
            <m:e>
              <m:d>
                <m:dPr>
                  <m:begChr m:val="("/>
                  <m:endChr m:val=")"/>
                  <m:sepChr m:val=""/>
                  <m:grow/>
                </m:dPr>
                <m:e>
                  <m:sSup>
                    <m:e>
                      <m:r>
                        <m:t>X</m:t>
                      </m:r>
                    </m:e>
                    <m:sup>
                      <m:r>
                        <m:rPr>
                          <m:sty m:val="p"/>
                        </m:rPr>
                        <m:t>′</m:t>
                      </m:r>
                    </m:sup>
                  </m:sSup>
                  <m:r>
                    <m:t>X</m:t>
                  </m:r>
                </m:e>
              </m:d>
            </m:e>
            <m:sup>
              <m:r>
                <m:rPr>
                  <m:sty m:val="p"/>
                </m:rPr>
                <m:t>−</m:t>
              </m:r>
              <m:r>
                <m:t>1</m:t>
              </m:r>
            </m:sup>
          </m:sSup>
          <m:sSup>
            <m:e>
              <m:r>
                <m:t>X</m:t>
              </m:r>
            </m:e>
            <m:sup>
              <m:r>
                <m:rPr>
                  <m:sty m:val="p"/>
                </m:rPr>
                <m:t>′</m:t>
              </m:r>
            </m:sup>
          </m:sSup>
          <m:r>
            <m:t>Y</m:t>
          </m:r>
          <m:r>
            <m:t>  </m:t>
          </m:r>
          <m:d>
            <m:dPr>
              <m:begChr m:val="("/>
              <m:endChr m:val=")"/>
              <m:sepChr m:val=""/>
              <m:grow/>
            </m:dPr>
            <m:e>
              <m:r>
                <m:t>1</m:t>
              </m:r>
            </m:e>
          </m:d>
        </m:oMath>
      </m:oMathPara>
      <w:bookmarkEnd w:id="44"/>
    </w:p>
    <w:bookmarkEnd w:id="45"/>
    <w:bookmarkStart w:id="47" w:name="results"/>
    <w:p>
      <w:pPr>
        <w:pStyle w:val="Heading1"/>
      </w:pPr>
      <w:r>
        <w:t xml:space="preserve">Results</w:t>
      </w:r>
    </w:p>
    <w:p>
      <w:pPr>
        <w:pStyle w:val="FirstParagraph"/>
      </w:pPr>
      <w:hyperlink w:anchor="tbl-regs">
        <w:r>
          <w:rPr>
            <w:rStyle w:val="Hyperlink"/>
          </w:rPr>
          <w:t xml:space="preserve">Table 2</w:t>
        </w:r>
      </w:hyperlink>
      <w:r>
        <w:t xml:space="preserve"> </w:t>
      </w:r>
      <w:r>
        <w:t xml:space="preserve">shows regression results for analysis of each student subject.</w:t>
      </w:r>
    </w:p>
    <w:bookmarkStart w:id="46" w:name="tbl-regs"/>
    <w:p>
      <w:pPr>
        <w:pStyle w:val="TableCaption"/>
      </w:pPr>
      <w:r>
        <w:t xml:space="preserve">Table 2: Estimated Coefficients by Subject</w:t>
      </w:r>
    </w:p>
    <w:tbl>
      <w:tblPr>
        <w:tblStyle w:val="Table"/>
        <w:tblW w:type="pct" w:w="5000"/>
        <w:tblLook w:firstRow="1" w:lastRow="0" w:firstColumn="0" w:lastColumn="0" w:noHBand="0" w:noVBand="0" w:val="0020"/>
        <w:jc w:val="start"/>
        <w:tblCaption w:val="Table 2: Estimated Coefficients by Subject"/>
      </w:tblPr>
      <w:tblGrid>
        <w:gridCol w:w="931"/>
        <w:gridCol w:w="3377"/>
        <w:gridCol w:w="1164"/>
        <w:gridCol w:w="931"/>
        <w:gridCol w:w="1514"/>
      </w:tblGrid>
      <w:tr>
        <w:trPr>
          <w:tblHeader w:val="true"/>
        </w:trPr>
        <w:tc>
          <w:tcPr/>
          <w:p>
            <w:pPr>
              <w:pStyle w:val="Compact"/>
              <w:jc w:val="left"/>
            </w:pPr>
            <w:r>
              <w:t xml:space="preserve">Subject</w:t>
            </w:r>
          </w:p>
        </w:tc>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SE</w:t>
            </w:r>
          </w:p>
        </w:tc>
        <w:tc>
          <w:tcPr/>
          <w:p>
            <w:pPr>
              <w:pStyle w:val="Compact"/>
              <w:jc w:val="center"/>
            </w:pPr>
            <w:r>
              <w:rPr>
                <w:bCs/>
                <w:b/>
              </w:rPr>
              <w:t xml:space="preserve">p-value</w:t>
            </w:r>
          </w:p>
        </w:tc>
      </w:tr>
      <w:tr>
        <w:tc>
          <w:tcPr/>
          <w:p>
            <w:pPr>
              <w:pStyle w:val="Compact"/>
              <w:jc w:val="left"/>
            </w:pPr>
            <w:r>
              <w:t xml:space="preserve">ELA</w:t>
            </w:r>
          </w:p>
        </w:tc>
        <w:tc>
          <w:tcPr/>
          <w:p>
            <w:pPr>
              <w:pStyle w:val="Compact"/>
              <w:jc w:val="left"/>
            </w:pPr>
            <w:r>
              <w:t xml:space="preserve">% Experienced Teachers</w:t>
            </w:r>
          </w:p>
        </w:tc>
        <w:tc>
          <w:tcPr/>
          <w:p>
            <w:pPr>
              <w:pStyle w:val="Compact"/>
              <w:jc w:val="center"/>
            </w:pPr>
            <w:r>
              <w:t xml:space="preserve">1.043</w:t>
            </w:r>
          </w:p>
        </w:tc>
        <w:tc>
          <w:tcPr/>
          <w:p>
            <w:pPr>
              <w:pStyle w:val="Compact"/>
              <w:jc w:val="center"/>
            </w:pPr>
            <w:r>
              <w:t xml:space="preserve">0.095</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0.046</w:t>
            </w:r>
          </w:p>
        </w:tc>
        <w:tc>
          <w:tcPr/>
          <w:p>
            <w:pPr>
              <w:pStyle w:val="Compact"/>
              <w:jc w:val="center"/>
            </w:pPr>
            <w:r>
              <w:t xml:space="preserve">0.008</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-0.018</w:t>
            </w:r>
          </w:p>
        </w:tc>
        <w:tc>
          <w:tcPr/>
          <w:p>
            <w:pPr>
              <w:pStyle w:val="Compact"/>
              <w:jc w:val="center"/>
            </w:pPr>
            <w:r>
              <w:t xml:space="preserve">0.005</w:t>
            </w:r>
          </w:p>
        </w:tc>
        <w:tc>
          <w:tcPr/>
          <w:p>
            <w:pPr>
              <w:pStyle w:val="Compact"/>
              <w:jc w:val="center"/>
            </w:pPr>
            <w:r>
              <w:rPr>
                <w:bCs/>
                <w:b/>
              </w:rPr>
              <w:t xml:space="preserve">&lt;0.001</w:t>
            </w:r>
          </w:p>
        </w:tc>
      </w:tr>
      <w:tr>
        <w:tc>
          <w:tcPr/>
          <w:p>
            <w:pPr>
              <w:pStyle w:val="Compact"/>
            </w:pPr>
          </w:p>
        </w:tc>
        <w:tc>
          <w:tcPr/>
          <w:p>
            <w:pPr>
              <w:pStyle w:val="Compact"/>
              <w:jc w:val="left"/>
            </w:pPr>
            <w:r>
              <w:t xml:space="preserve">Poverty Rate (10 pct pts)</w:t>
            </w:r>
          </w:p>
        </w:tc>
        <w:tc>
          <w:tcPr/>
          <w:p>
            <w:pPr>
              <w:pStyle w:val="Compact"/>
              <w:jc w:val="center"/>
            </w:pPr>
            <w:r>
              <w:t xml:space="preserve">0.149</w:t>
            </w:r>
          </w:p>
        </w:tc>
        <w:tc>
          <w:tcPr/>
          <w:p>
            <w:pPr>
              <w:pStyle w:val="Compact"/>
              <w:jc w:val="center"/>
            </w:pPr>
            <w:r>
              <w:t xml:space="preserve">0.022</w:t>
            </w:r>
          </w:p>
        </w:tc>
        <w:tc>
          <w:tcPr/>
          <w:p>
            <w:pPr>
              <w:pStyle w:val="Compact"/>
              <w:jc w:val="center"/>
            </w:pPr>
            <w:r>
              <w:rPr>
                <w:bCs/>
                <w:b/>
              </w:rPr>
              <w:t xml:space="preserve">&lt;0.001</w:t>
            </w:r>
          </w:p>
        </w:tc>
      </w:tr>
      <w:tr>
        <w:tc>
          <w:tcPr/>
          <w:p>
            <w:pPr>
              <w:pStyle w:val="Compact"/>
              <w:jc w:val="left"/>
            </w:pPr>
            <w:r>
              <w:t xml:space="preserve">MATH</w:t>
            </w:r>
          </w:p>
        </w:tc>
        <w:tc>
          <w:tcPr/>
          <w:p>
            <w:pPr>
              <w:pStyle w:val="Compact"/>
              <w:jc w:val="left"/>
            </w:pPr>
            <w:r>
              <w:t xml:space="preserve">% Experienced Teachers</w:t>
            </w:r>
          </w:p>
        </w:tc>
        <w:tc>
          <w:tcPr/>
          <w:p>
            <w:pPr>
              <w:pStyle w:val="Compact"/>
              <w:jc w:val="center"/>
            </w:pPr>
            <w:r>
              <w:t xml:space="preserve">1.134</w:t>
            </w:r>
          </w:p>
        </w:tc>
        <w:tc>
          <w:tcPr/>
          <w:p>
            <w:pPr>
              <w:pStyle w:val="Compact"/>
              <w:jc w:val="center"/>
            </w:pPr>
            <w:r>
              <w:t xml:space="preserve">0.098</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0.051</w:t>
            </w:r>
          </w:p>
        </w:tc>
        <w:tc>
          <w:tcPr/>
          <w:p>
            <w:pPr>
              <w:pStyle w:val="Compact"/>
              <w:jc w:val="center"/>
            </w:pPr>
            <w:r>
              <w:t xml:space="preserve">0.008</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-0.012</w:t>
            </w:r>
          </w:p>
        </w:tc>
        <w:tc>
          <w:tcPr/>
          <w:p>
            <w:pPr>
              <w:pStyle w:val="Compact"/>
              <w:jc w:val="center"/>
            </w:pPr>
            <w:r>
              <w:t xml:space="preserve">0.005</w:t>
            </w:r>
          </w:p>
        </w:tc>
        <w:tc>
          <w:tcPr/>
          <w:p>
            <w:pPr>
              <w:pStyle w:val="Compact"/>
              <w:jc w:val="center"/>
            </w:pPr>
            <w:r>
              <w:rPr>
                <w:bCs/>
                <w:b/>
              </w:rPr>
              <w:t xml:space="preserve">0.023</w:t>
            </w:r>
          </w:p>
        </w:tc>
      </w:tr>
      <w:tr>
        <w:tc>
          <w:tcPr/>
          <w:p>
            <w:pPr>
              <w:pStyle w:val="Compact"/>
            </w:pPr>
          </w:p>
        </w:tc>
        <w:tc>
          <w:tcPr/>
          <w:p>
            <w:pPr>
              <w:pStyle w:val="Compact"/>
              <w:jc w:val="left"/>
            </w:pPr>
            <w:r>
              <w:t xml:space="preserve">Poverty Rate (10 pct pts)</w:t>
            </w:r>
          </w:p>
        </w:tc>
        <w:tc>
          <w:tcPr/>
          <w:p>
            <w:pPr>
              <w:pStyle w:val="Compact"/>
              <w:jc w:val="center"/>
            </w:pPr>
            <w:r>
              <w:t xml:space="preserve">0.172</w:t>
            </w:r>
          </w:p>
        </w:tc>
        <w:tc>
          <w:tcPr/>
          <w:p>
            <w:pPr>
              <w:pStyle w:val="Compact"/>
              <w:jc w:val="center"/>
            </w:pPr>
            <w:r>
              <w:t xml:space="preserve">0.023</w:t>
            </w:r>
          </w:p>
        </w:tc>
        <w:tc>
          <w:tcPr/>
          <w:p>
            <w:pPr>
              <w:pStyle w:val="Compact"/>
              <w:jc w:val="center"/>
            </w:pPr>
            <w:r>
              <w:rPr>
                <w:bCs/>
                <w:b/>
              </w:rPr>
              <w:t xml:space="preserve">&lt;0.001</w:t>
            </w:r>
          </w:p>
        </w:tc>
      </w:tr>
      <w:tr>
        <w:tc>
          <w:tcPr/>
          <w:p>
            <w:pPr>
              <w:pStyle w:val="Compact"/>
              <w:jc w:val="left"/>
            </w:pPr>
            <w:r>
              <w:t xml:space="preserve">SCI</w:t>
            </w:r>
          </w:p>
        </w:tc>
        <w:tc>
          <w:tcPr/>
          <w:p>
            <w:pPr>
              <w:pStyle w:val="Compact"/>
              <w:jc w:val="left"/>
            </w:pPr>
            <w:r>
              <w:t xml:space="preserve">% Experienced Teachers</w:t>
            </w:r>
          </w:p>
        </w:tc>
        <w:tc>
          <w:tcPr/>
          <w:p>
            <w:pPr>
              <w:pStyle w:val="Compact"/>
              <w:jc w:val="center"/>
            </w:pPr>
            <w:r>
              <w:t xml:space="preserve">1.075</w:t>
            </w:r>
          </w:p>
        </w:tc>
        <w:tc>
          <w:tcPr/>
          <w:p>
            <w:pPr>
              <w:pStyle w:val="Compact"/>
              <w:jc w:val="center"/>
            </w:pPr>
            <w:r>
              <w:t xml:space="preserve">0.107</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0.037</w:t>
            </w:r>
          </w:p>
        </w:tc>
        <w:tc>
          <w:tcPr/>
          <w:p>
            <w:pPr>
              <w:pStyle w:val="Compact"/>
              <w:jc w:val="center"/>
            </w:pPr>
            <w:r>
              <w:t xml:space="preserve">0.009</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-0.016</w:t>
            </w:r>
          </w:p>
        </w:tc>
        <w:tc>
          <w:tcPr/>
          <w:p>
            <w:pPr>
              <w:pStyle w:val="Compact"/>
              <w:jc w:val="center"/>
            </w:pPr>
            <w:r>
              <w:t xml:space="preserve">0.005</w:t>
            </w:r>
          </w:p>
        </w:tc>
        <w:tc>
          <w:tcPr/>
          <w:p>
            <w:pPr>
              <w:pStyle w:val="Compact"/>
              <w:jc w:val="center"/>
            </w:pPr>
            <w:r>
              <w:rPr>
                <w:bCs/>
                <w:b/>
              </w:rPr>
              <w:t xml:space="preserve">0.003</w:t>
            </w:r>
          </w:p>
        </w:tc>
      </w:tr>
      <w:tr>
        <w:tc>
          <w:tcPr/>
          <w:p>
            <w:pPr>
              <w:pStyle w:val="Compact"/>
            </w:pPr>
          </w:p>
        </w:tc>
        <w:tc>
          <w:tcPr/>
          <w:p>
            <w:pPr>
              <w:pStyle w:val="Compact"/>
              <w:jc w:val="left"/>
            </w:pPr>
            <w:r>
              <w:t xml:space="preserve">Poverty Rate (10 pct pts)</w:t>
            </w:r>
          </w:p>
        </w:tc>
        <w:tc>
          <w:tcPr/>
          <w:p>
            <w:pPr>
              <w:pStyle w:val="Compact"/>
              <w:jc w:val="center"/>
            </w:pPr>
            <w:r>
              <w:t xml:space="preserve">0.160</w:t>
            </w:r>
          </w:p>
        </w:tc>
        <w:tc>
          <w:tcPr/>
          <w:p>
            <w:pPr>
              <w:pStyle w:val="Compact"/>
              <w:jc w:val="center"/>
            </w:pPr>
            <w:r>
              <w:t xml:space="preserve">0.025</w:t>
            </w:r>
          </w:p>
        </w:tc>
        <w:tc>
          <w:tcPr/>
          <w:p>
            <w:pPr>
              <w:pStyle w:val="Compact"/>
              <w:jc w:val="center"/>
            </w:pPr>
            <w:r>
              <w:rPr>
                <w:bCs/>
                <w:b/>
              </w:rPr>
              <w:t xml:space="preserve">&lt;0.001</w:t>
            </w:r>
          </w:p>
        </w:tc>
      </w:tr>
    </w:tbl>
    <w:bookmarkEnd w:id="46"/>
    <w:bookmarkEnd w:id="47"/>
    <w:bookmarkStart w:id="53" w:name="bibliography"/>
    <w:p>
      <w:pPr>
        <w:pStyle w:val="Heading1"/>
      </w:pPr>
      <w:r>
        <w:t xml:space="preserve">Bibliography</w:t>
      </w:r>
    </w:p>
    <w:bookmarkStart w:id="52" w:name="refs"/>
    <w:bookmarkStart w:id="49" w:name="ref-huang_is_2009"/>
    <w:p>
      <w:pPr>
        <w:pStyle w:val="Bibliography"/>
      </w:pPr>
      <w:r>
        <w:t xml:space="preserve">Huang, F. L., &amp; Moon, T. R. (2009). Is experience the best teacher?</w:t>
      </w:r>
      <w:r>
        <w:t xml:space="preserve"> </w:t>
      </w:r>
      <w:r>
        <w:t xml:space="preserve">A</w:t>
      </w:r>
      <w:r>
        <w:t xml:space="preserve"> </w:t>
      </w:r>
      <w:r>
        <w:t xml:space="preserve">multilevel analysis of teacher characteristics and student achievement in low performing schools.</w:t>
      </w:r>
      <w:r>
        <w:t xml:space="preserve"> </w:t>
      </w:r>
      <w:r>
        <w:rPr>
          <w:iCs/>
          <w:i/>
        </w:rPr>
        <w:t xml:space="preserve">Educational Assessment, Evaluation and Accountability</w:t>
      </w:r>
      <w:r>
        <w:t xml:space="preserve">,</w:t>
      </w:r>
      <w:r>
        <w:t xml:space="preserve"> </w:t>
      </w:r>
      <w:r>
        <w:rPr>
          <w:iCs/>
          <w:i/>
        </w:rPr>
        <w:t xml:space="preserve">21</w:t>
      </w:r>
      <w:r>
        <w:t xml:space="preserve">(3), 209–234.</w:t>
      </w:r>
      <w:r>
        <w:t xml:space="preserve"> </w:t>
      </w:r>
      <w:hyperlink r:id="rId48">
        <w:r>
          <w:rPr>
            <w:rStyle w:val="Hyperlink"/>
          </w:rPr>
          <w:t xml:space="preserve">https://doi.org/10.1007/s11092-009-9074-2</w:t>
        </w:r>
      </w:hyperlink>
    </w:p>
    <w:bookmarkEnd w:id="49"/>
    <w:bookmarkStart w:id="51" w:name="ref-ladd_returns_2017"/>
    <w:p>
      <w:pPr>
        <w:pStyle w:val="Bibliography"/>
      </w:pPr>
      <w:r>
        <w:t xml:space="preserve">Ladd, H. F., &amp; Sorensen, L. C. (2017). Returns to</w:t>
      </w:r>
      <w:r>
        <w:t xml:space="preserve"> </w:t>
      </w:r>
      <w:r>
        <w:t xml:space="preserve">Teacher</w:t>
      </w:r>
      <w:r>
        <w:t xml:space="preserve"> </w:t>
      </w:r>
      <w:r>
        <w:t xml:space="preserve">Experience</w:t>
      </w:r>
      <w:r>
        <w:t xml:space="preserve">:</w:t>
      </w:r>
      <w:r>
        <w:t xml:space="preserve"> </w:t>
      </w:r>
      <w:r>
        <w:t xml:space="preserve">Student</w:t>
      </w:r>
      <w:r>
        <w:t xml:space="preserve"> </w:t>
      </w:r>
      <w:r>
        <w:t xml:space="preserve">Achievement</w:t>
      </w:r>
      <w:r>
        <w:t xml:space="preserve"> </w:t>
      </w:r>
      <w:r>
        <w:t xml:space="preserve">and</w:t>
      </w:r>
      <w:r>
        <w:t xml:space="preserve"> </w:t>
      </w:r>
      <w:r>
        <w:t xml:space="preserve">Motivation</w:t>
      </w:r>
      <w:r>
        <w:t xml:space="preserve"> </w:t>
      </w:r>
      <w:r>
        <w:t xml:space="preserve">in</w:t>
      </w:r>
      <w:r>
        <w:t xml:space="preserve"> </w:t>
      </w:r>
      <w:r>
        <w:t xml:space="preserve">Middle</w:t>
      </w:r>
      <w:r>
        <w:t xml:space="preserve"> </w:t>
      </w:r>
      <w:r>
        <w:t xml:space="preserve">School</w:t>
      </w:r>
      <w:r>
        <w:t xml:space="preserve">.</w:t>
      </w:r>
      <w:r>
        <w:t xml:space="preserve"> </w:t>
      </w:r>
      <w:r>
        <w:rPr>
          <w:iCs/>
          <w:i/>
        </w:rPr>
        <w:t xml:space="preserve">Education Finance and Policy</w:t>
      </w:r>
      <w:r>
        <w:t xml:space="preserve">,</w:t>
      </w:r>
      <w:r>
        <w:t xml:space="preserve"> </w:t>
      </w:r>
      <w:r>
        <w:rPr>
          <w:iCs/>
          <w:i/>
        </w:rPr>
        <w:t xml:space="preserve">12</w:t>
      </w:r>
      <w:r>
        <w:t xml:space="preserve">(2), 241–279.</w:t>
      </w:r>
      <w:r>
        <w:t xml:space="preserve"> </w:t>
      </w:r>
      <w:hyperlink r:id="rId50">
        <w:r>
          <w:rPr>
            <w:rStyle w:val="Hyperlink"/>
          </w:rPr>
          <w:t xml:space="preserve">https://doi.org/10.1162/EDFP_a_00194</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48" Target="https://doi.org/10.1007/s11092-009-9074-2" TargetMode="External" /><Relationship Type="http://schemas.openxmlformats.org/officeDocument/2006/relationships/hyperlink" Id="rId50" Target="https://doi.org/10.1162/EDFP_a_00194" TargetMode="External" /><Relationship Type="http://schemas.openxmlformats.org/officeDocument/2006/relationships/hyperlink" Id="rId24" Target="https://en.wikipedia.org/wiki/Ecological_fallacy" TargetMode="External" /><Relationship Type="http://schemas.openxmlformats.org/officeDocument/2006/relationships/hyperlink" Id="rId22" Target="https://git-scm.com/" TargetMode="External" /><Relationship Type="http://schemas.openxmlformats.org/officeDocument/2006/relationships/hyperlink" Id="rId21" Target="https://quarto.org/" TargetMode="External" /><Relationship Type="http://schemas.openxmlformats.org/officeDocument/2006/relationships/hyperlink" Id="rId2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11092-009-9074-2" TargetMode="External" /><Relationship Type="http://schemas.openxmlformats.org/officeDocument/2006/relationships/hyperlink" Id="rId50" Target="https://doi.org/10.1162/EDFP_a_00194" TargetMode="External" /><Relationship Type="http://schemas.openxmlformats.org/officeDocument/2006/relationships/hyperlink" Id="rId24" Target="https://en.wikipedia.org/wiki/Ecological_fallacy" TargetMode="External" /><Relationship Type="http://schemas.openxmlformats.org/officeDocument/2006/relationships/hyperlink" Id="rId22" Target="https://git-scm.com/" TargetMode="External" /><Relationship Type="http://schemas.openxmlformats.org/officeDocument/2006/relationships/hyperlink" Id="rId21" Target="https://quarto.org/" TargetMode="External" /><Relationship Type="http://schemas.openxmlformats.org/officeDocument/2006/relationships/hyperlink" Id="rId2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Experience and Pay, and Student Tested Achievement</dc:title>
  <dc:creator>Nick Mader (nsmader@gmail.com)</dc:creator>
  <cp:keywords/>
  <dcterms:created xsi:type="dcterms:W3CDTF">2024-05-09T05:19:48Z</dcterms:created>
  <dcterms:modified xsi:type="dcterms:W3CDTF">2024-05-09T05:19:48Z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teacher_experience_citations.bib</vt:lpwstr>
  </property>
  <property fmtid="{D5CDD505-2E9C-101B-9397-08002B2CF9AE}" pid="5" name="by-author">
    <vt:lpwstr/>
  </property>
  <property fmtid="{D5CDD505-2E9C-101B-9397-08002B2CF9AE}" pid="6" name="csl">
    <vt:lpwstr>apa-6th-edition.csl</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