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40"/>
          <w:sz-cs w:val="40"/>
          <w:b/>
          <w:spacing w:val="0"/>
          <w:color w:val="FFFFFF"/>
        </w:rPr>
        <w:t xml:space="preserve">AEC DRAWING INTELLIGENCE PLATFORM</w:t>
      </w:r>
      <w:r>
        <w:rPr>
          <w:rFonts w:ascii="Helvetica Neue" w:hAnsi="Helvetica Neue" w:cs="Helvetica Neue"/>
          <w:sz w:val="40"/>
          <w:sz-cs w:val="40"/>
          <w:b/>
          <w:spacing w:val="0"/>
          <w:color w:val="FFFFF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C0CBD9"/>
        </w:rPr>
        <w:t xml:space="preserve">System Architecture &amp; Technology Stack Specification · Deliverable 01</w:t>
      </w:r>
      <w:r>
        <w:rPr>
          <w:rFonts w:ascii="Helvetica Neue" w:hAnsi="Helvetica Neue" w:cs="Helvetica Neue"/>
          <w:sz w:val="24"/>
          <w:sz-cs w:val="24"/>
          <w:spacing w:val="0"/>
          <w:color w:val="C0CBD9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3A4355"/>
        </w:rPr>
        <w:t xml:space="preserve">DOCUMENT ID</w:t>
      </w:r>
      <w:r>
        <w:rPr>
          <w:rFonts w:ascii="Helvetica Neue" w:hAnsi="Helvetica Neue" w:cs="Helvetica Neue"/>
          <w:sz w:val="20"/>
          <w:sz-cs w:val="20"/>
          <w:b/>
          <w:spacing w:val="0"/>
          <w:color w:val="3A4355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DOC-AECDI-ARCH-01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3A4355"/>
        </w:rPr>
        <w:t xml:space="preserve">REVISION</w:t>
      </w:r>
      <w:r>
        <w:rPr>
          <w:rFonts w:ascii="Helvetica Neue" w:hAnsi="Helvetica Neue" w:cs="Helvetica Neue"/>
          <w:sz w:val="20"/>
          <w:sz-cs w:val="20"/>
          <w:b/>
          <w:spacing w:val="0"/>
          <w:color w:val="3A4355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Rev 1.0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3A4355"/>
        </w:rPr>
        <w:t xml:space="preserve">DATE</w:t>
      </w:r>
      <w:r>
        <w:rPr>
          <w:rFonts w:ascii="Helvetica Neue" w:hAnsi="Helvetica Neue" w:cs="Helvetica Neue"/>
          <w:sz w:val="20"/>
          <w:sz-cs w:val="20"/>
          <w:b/>
          <w:spacing w:val="0"/>
          <w:color w:val="3A4355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October 2026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3A4355"/>
        </w:rPr>
        <w:t xml:space="preserve">AUTHOR</w:t>
      </w:r>
      <w:r>
        <w:rPr>
          <w:rFonts w:ascii="Helvetica Neue" w:hAnsi="Helvetica Neue" w:cs="Helvetica Neue"/>
          <w:sz w:val="20"/>
          <w:sz-cs w:val="20"/>
          <w:b/>
          <w:spacing w:val="0"/>
          <w:color w:val="3A4355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Sahil Navadiya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3A4355"/>
        </w:rPr>
        <w:t xml:space="preserve">ROLE</w:t>
      </w:r>
      <w:r>
        <w:rPr>
          <w:rFonts w:ascii="Helvetica Neue" w:hAnsi="Helvetica Neue" w:cs="Helvetica Neue"/>
          <w:sz w:val="20"/>
          <w:sz-cs w:val="20"/>
          <w:b/>
          <w:spacing w:val="0"/>
          <w:color w:val="3A4355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AI Process Lead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3A4355"/>
        </w:rPr>
        <w:t xml:space="preserve">TARGET</w:t>
      </w:r>
      <w:r>
        <w:rPr>
          <w:rFonts w:ascii="Helvetica Neue" w:hAnsi="Helvetica Neue" w:cs="Helvetica Neue"/>
          <w:sz w:val="20"/>
          <w:sz-cs w:val="20"/>
          <w:b/>
          <w:spacing w:val="0"/>
          <w:color w:val="3A4355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Uppteam / ISP Global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3A4355"/>
        </w:rPr>
        <w:t xml:space="preserve">STATUS</w:t>
      </w:r>
      <w:r>
        <w:rPr>
          <w:rFonts w:ascii="Helvetica Neue" w:hAnsi="Helvetica Neue" w:cs="Helvetica Neue"/>
          <w:sz w:val="20"/>
          <w:sz-cs w:val="20"/>
          <w:b/>
          <w:spacing w:val="0"/>
          <w:color w:val="3A4355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APPROVED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3A4355"/>
        </w:rPr>
        <w:t xml:space="preserve">SCOPE</w:t>
      </w:r>
      <w:r>
        <w:rPr>
          <w:rFonts w:ascii="Helvetica Neue" w:hAnsi="Helvetica Neue" w:cs="Helvetica Neue"/>
          <w:sz w:val="20"/>
          <w:sz-cs w:val="20"/>
          <w:b/>
          <w:spacing w:val="0"/>
          <w:color w:val="3A4355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Arch &amp; Tech Stack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82B4C"/>
        </w:rPr>
        <w:t xml:space="preserve">1.0 SYSTEM ARCHITECTURE &amp; EXECUTION PIPELINE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Core Principle: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Extract &amp; Structure → Deterministic Rules First → Bounded Semantic LLM → Anti-Hallucination Evidence Gate → Human Engineer Verification.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Zero Hallucinations: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Eliminates black-box PDF prompt chaining. 90%+ of checks execute via deterministic geometry, arithmetic, and cross-discipline graph rules.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Physical Provenance: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Every data point retains document name, revision, page number, and sub-millimeter bounding box coordinates (x0, y0, x1, y1).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41821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41821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41821"/>
        </w:rPr>
        <w:t xml:space="preserve">│                         SYSTEM ARCHITECTURE PIPELINE                             │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41821"/>
        </w:rPr>
        <w:t xml:space="preserve">│                                                                                  │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41821"/>
        </w:rPr>
        <w:t xml:space="preserve">│   Extract &amp; Structure   ──►  Deterministic Rules  ──►  Selective LLM Semantic   │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41821"/>
        </w:rPr>
        <w:t xml:space="preserve">│   (Vector PDFs, Specs,       (Dimensions, Counts,      (Complex CSI text vs.     │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41821"/>
        </w:rPr>
        <w:t xml:space="preserve">│    BOQs with bboxes)          Tags, Revisions)          Schedule conflicts)      │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41821"/>
        </w:rPr>
        <w:t xml:space="preserve">│                                                                  │               │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41821"/>
        </w:rPr>
        <w:t xml:space="preserve">│                                                                  ▼               │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41821"/>
        </w:rPr>
        <w:t xml:space="preserve">│   Human Engineer Decides ◄──  Evidence Gate Verification ◄───────┘               │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41821"/>
        </w:rPr>
        <w:t xml:space="preserve">│   (AOR/EOR Audit Trail)       (Re-checks cited snippet at                        │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41821"/>
        </w:rPr>
        <w:t xml:space="preserve">│                                exact bbox; rejects hallucination)                │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41821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82B4C"/>
        </w:rPr>
        <w:t xml:space="preserve">2.0 ARCHITECTURAL DECOMPOSITION (6 LAYERS)</w:t>
      </w:r>
    </w:p>
    <w:p>
      <w:pPr>
        <w:spacing w:after="16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256A0"/>
        </w:rPr>
        <w:t xml:space="preserve">2.1 Layer 1: Ingestion &amp; Spatial Normalization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Vector Drawing Parser: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Extracts vector text spans, fonts, directional vectors, and exact bounding boxes using PyMuPDF (50+ sheets/sec, no OCR latency).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Title Block &amp; Index: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Isolates sheet IDs (A-101, M-601), scales, and revision schedules. Reconciles sheet index vs actual sheets.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Ruled Table Matrix: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Extracts schedules (doors, windows, equipment, panels) by vector line intersections, mapping headers to cell grids.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CSI Spec Parser: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Splits project manuals into CSI MasterFormat sections, parts, articles, and lettered paragraphs with physical bounding boxes.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BOQ Parser &amp; Units: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Scans Excel workbooks with openpyxl, preserving cell addresses (Sheet1!E18). Converts imperial fractions using exact rational arithmetic.</w:t>
      </w:r>
    </w:p>
    <w:p>
      <w:pPr>
        <w:spacing w:after="16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256A0"/>
        </w:rPr>
        <w:t xml:space="preserve">2.2 Layer 2: Multi-Discipline Relational Project Graph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Property Graph: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In-memory relational graph linking tags, schedules, specs, and BOQ items with typed edges (appears_on, defined_in, governed_by, quantifies, fed_by, supported_by).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Entity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Node Key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Relational Connections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Physical Provenance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Sheet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SHEET:A-101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references A-601, listed_in G-001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File, Page Index, Title Block BBox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Door Tag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DOOR:105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appears_on A-101, defined_in A-601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Plan Coordinate (x, y), Tag Shape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Door Schedule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DOORTYPE:D1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is_type DOOR:105, governed_by SPEC:08 14 16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Table Cell BBox, Schedule Row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Equipment Tag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EQUIP:RTU-1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appears_on M-101, fed_by CKT:HA-1, in BOQ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Plan BBox, Capacity, Weight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Electrical Ckt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CKT:HA-1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feeds EQUIP:RTU-1, on SHEET:E-601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Panel Name, Breaker Amps, Voltage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CSI Spec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SPEC:08 14 16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governs DOORTYPE:D1, refs SPEC:08 71 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Section, Article, Paragraph BBox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BOQ Item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BOQ:08-110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quantifies DOORTYPE:D1, prices EQUIP:RTU-1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Sheet Name, Excel Row &amp; Cell Address</w:t>
      </w:r>
    </w:p>
    <w:p>
      <w:pPr>
        <w:spacing w:after="16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256A0"/>
        </w:rPr>
        <w:t xml:space="preserve">2.3 Layer 3: Deterministic Rule Engines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Dimensions (DIM):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DIM-001: Chained vs overall sum (tolerance 1/8"). DIM-002: Vector length vs scale. DIM-003: Cross-sheet grid alignment (A-101 vs S-101).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Quantities (QTY):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QTY-001/2: Schedule vs BOQ counts. QTY-003: Flags NIC (Not In Contract) items in BOQ. QTY-004: Abstains on uncounted TYP. tags → Needs Review. QTY-005: Plan tag multipliers vs schedule.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Cross-Discipline (XD):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XD-001: Mechanical V/PH vs Electrical panels (120V, 208V, 240V, 480V). XD-002: Unpowered equipment. XD-003: Breaker sizing vs MCA. XD-004: Equipment weight vs structural capacity.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Completeness (MISS):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MISS-001/2: Undefined / orphan tags. TAG-001: Duplicate tags. MISS-003: Blank mandatory schedule cells. MISS-004: Undefined hardware sets. MISS-005: Missing CSI spec sections.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Revisions (REV):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REV-001: Flags unclouded changes (3-layer diff: tables, text with shift compensation, geometry). REV-002: Changed content with unissued revision in title block.</w:t>
      </w:r>
    </w:p>
    <w:p>
      <w:pPr>
        <w:spacing w:after="16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256A0"/>
        </w:rPr>
        <w:t xml:space="preserve">2.4 Layer 4: Bounded LLM Semantic Layer (Claude Opus 5.5 / Sonnet)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Target Scope: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Reserved exclusively for subtle natural language conflicts between specifications and schedule notes.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JSON Schema Enforcement: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Strict schema requires element, attribute, schedule_value, paragraph_id, and verbatim spec_quote.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Guardrails: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Model forbidden from outside assumptions; output tier capped at 'Probable'; offline Replay &amp; Mock clients for CI/CD.</w:t>
      </w:r>
    </w:p>
    <w:p>
      <w:pPr>
        <w:spacing w:after="16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256A0"/>
        </w:rPr>
        <w:t xml:space="preserve">2.5 Layer 5: Anti-Hallucination Evidence Gate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Independent Verification: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Re-opens source PDF/Excel, clips cited bounding box (+1.5pt pad), and verifies normalized snippet.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Zero Tolerance: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If snippet is missing or unverified, finding is dropped to rejected log. Shipped findings carry only 100% verified anchors.</w:t>
      </w:r>
    </w:p>
    <w:p>
      <w:pPr>
        <w:spacing w:after="16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256A0"/>
        </w:rPr>
        <w:t xml:space="preserve">2.6 Layer 6: Human-in-the-Loop &amp; Enterprise Outputs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Annotated Vector PDFs: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Native vector rectangle annotations colored by severity (Red/Orange/Blue) for Bluebeam Revu.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Excel QC Issue Log: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Formatted workbook with frozen headers, auto-filters, and dropdown validations (Open, Accepted, Rejected, Deferred).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Autodesk Construction Cloud: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Formats issues for ACC Issues API with 2D vector centroid pushpins (x, y).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Interactive Review App: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 Streamlit UI with side-by-side dynamic bounding box crops and append-only audit trail (review_log.jsonl).</w:t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82B4C"/>
        </w:rPr>
        <w:t xml:space="preserve">3.0 FULL TECHNOLOGY STACK SPECIFICATION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Architecture Layer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Prototype Technology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Enterprise Target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Technical Role &amp; Selection Rationale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Runtime / Core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Python 3.11+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Python 3.11+ / FastAPI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High throughput, rich scientific computing, robust typing.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Vector PDF Parser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PyMuPDF (fitz)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PyMuPDF + Azure Doc Intel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50+ vector sheets/sec. Azure provides fallback OCR for scans.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Table Matrix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Vector Line Intersection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PyMuPDF Tables + Textract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Deterministic cell extraction eliminates OCR errors on CAD tables.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Computer Vision Diff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OpenCV (headless) + NumPy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OpenCV + GPU Acceleration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Pixel overlay diffs (Red/Blue/Grey) in &lt; 200ms at 150 DPI.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Spreadsheet Engine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openpyxl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openpyxl / DuckDB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Preserves exact cell coordinates (Sheet!E18) with low memory.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Imperial Math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Custom Fraction Engine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Custom Fraction Engine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Exact rational arithmetic eliminates floating-point rounding errors.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LLM Semantic Engine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Claude Opus 5.5 (Anthropic)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Claude 3.5 Sonnet / Llama-3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Zero Data Retention (ZDR) cloud API; local LLM for strict NDAs.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Workflow Automation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CLI Pipeline &amp; Python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n8n (Self-Hosted) / Temporal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Event triggers on folder uploads (ACC, Dropbox) automate runs.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Review Dashboard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Streamlit 1.35+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React 19 + APS / PDF.js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Instant zero-overhead UI; React provides enterprise scale.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Database &amp; Graph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JSON / SQLite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PostgreSQL + pgvector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Relational graph storage with ACID guarantees and vector search.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