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2256A0"/>
        </w:rPr>
        <w:t xml:space="preserve">DELIVERABLE 03 — TECHNICAL REPORT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5284B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5284B"/>
        </w:rPr>
        <w:t xml:space="preserve">AEC Drawing Intelligence: Evaluation Plan &amp; Hallucination Mitigation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3A4355"/>
        </w:rPr>
        <w:t xml:space="preserve">Empirical Verification Across 46 Benchmark Projects, Evidence Gate Architecture, Red-Teaming &amp; Production Telemetry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>Document ID: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DOC-AECDI-EVAL-03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>Revision: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Rev 1.0 (Final)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>Author: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Sahil Navadiya (Process Lead)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>Target: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Uppteam / ISP Global Consulting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1. EXECUTIVE SUMMARY &amp; EVALUATION FRAMEWORK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Automated AEC quality control cannot operate on probabilistic 'best-effort' claims. A single hallucinated dimension or missed structural conflict directly triggers job-site change orders, structural rework, and legal liability. This document establishes the formal evaluation methodology, benchmark results across 46 commercial project sets, deterministic anti-hallucination guardrails, and production telemetry protocols.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2256A0"/>
        </w:rPr>
        <w:t xml:space="preserve">Core Evaluation Thesis:</w:t>
      </w:r>
      <w:r>
        <w:rPr>
          <w:rFonts w:ascii="Helvetica Neue" w:hAnsi="Helvetica Neue" w:cs="Helvetica Neue"/>
          <w:sz w:val="25"/>
          <w:sz-cs w:val="25"/>
          <w:spacing w:val="0"/>
          <w:color w:val="2256A0"/>
        </w:rPr>
        <w:t xml:space="preserve"> Multi-Tiered Benchmarking (Extraction, Discrepancy, Evidence Gate, Abstention, Production) • Decoupled deterministic rule verification from bounded LLM semantic reasoning • Physical coordinate re-clipping enforces 100% evidence provenance.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2. BENCHMARK DATASET ARCHITECTURE &amp; TEST SPLITS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To evaluate performance with statistical rigor without violating client NDAs, an evaluation engine generated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46 complete commercial project sets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with mathematical ground truth (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222938"/>
        </w:rPr>
        <w:t xml:space="preserve">answer_key.json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):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Dataset Split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Sets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Seeded Defects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Shipped Findings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Clean Controls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Evaluation Purpose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Development (dev)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Baseline rule development covering all 24 defect kinds.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Test (test)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241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286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Randomized bay sizes, room numbers, and targets.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Holdout (holdout)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257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303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Blind holdout evaluating generalization across drafting patterns.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Negative Controls (clean)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Clean drawing sets with zero defects to verify false-positive rate.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Total Benchmark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46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522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618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5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Comprehensive multi-split performance verification.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3. DISCREPANCY DETECTION PERFORMANCE &amp; ACCURACY RESULTS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The platform evaluated all 46 benchmark sets with a mean runtime of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0.78 seconds per set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(max 0.92s).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Split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Sets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Seeded Defects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Detected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Shipped Findings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False Positives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Precision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Recall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F1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dev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1.000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1.000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1.000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test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241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241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286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1.000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1.000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1.000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holdout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257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257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303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1.000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1.000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1.000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clean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1.000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-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-</w:t>
      </w:r>
    </w:p>
    <w:p>
      <w:pPr>
        <w:spacing w:after="16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22938"/>
        </w:rPr>
        <w:t xml:space="preserve">Holdout Performance Breakdown by Defect Category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Discrepancy Category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Defects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Detected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False Positives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Recall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Precision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F1-Score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missing_info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94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94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quantity_mismatch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46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46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spec_conflict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36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36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cross_discipline_conflict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35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35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dimension_conflict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revision_issue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tag_conflict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1.000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4. THE 5 PILLARS OF HALLUCINATION PREVENTION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Pillar 1: Physical Coordinate Re-Clipping: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Every citation is re-clipped at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222938"/>
        </w:rPr>
        <w:t xml:space="preserve">(sheet_no, x0, y0, x1, y1)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. 1,509 anchors evaluated; 1,506 verified; 0 unverified claims published.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Pillar 2: Dual-Anchor Proof Contract: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Cross-discipline findings require ≥2 independent coordinate anchors across drawings and specs.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Pillar 3: Deterministic Calculation Supremacy: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Dimensions evaluated using Python rational Fraction arithmetic; zero LLM arithmetic permitted.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Pillar 4: Ambiguity Abstention Protocol: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Deliberate drafting traps ('TYP.' tags without count) safely abstained: 20/20 routed to Needs Review, 0 hallucinations.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Pillar 5: Run-to-Run Determinism &amp; Negative Controls: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5 clean sets produced 0 false positives; repeated runs produced byte-identical SHA-1 fingerprints.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5. ADVERSARIAL RED-TEAMING &amp; INJECTION TESTING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B1421A"/>
        </w:rPr>
        <w:t xml:space="preserve">Adversarial Test 1: Injected Hallucinations (25 Fabricated Claims)</w:t>
      </w:r>
      <w:r>
        <w:rPr>
          <w:rFonts w:ascii="Helvetica Neue" w:hAnsi="Helvetica Neue" w:cs="Helvetica Neue"/>
          <w:sz w:val="25"/>
          <w:sz-cs w:val="25"/>
          <w:spacing w:val="0"/>
          <w:color w:val="B142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B1421A"/>
        </w:rPr>
        <w:t xml:space="preserve">A mock LLM injected 25 plausible but fake conflicts across 5 spec sections.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B1421A"/>
        </w:rPr>
        <w:t xml:space="preserve">25 of 25 (100%) were caught and quarantined</w:t>
      </w:r>
      <w:r>
        <w:rPr>
          <w:rFonts w:ascii="Helvetica Neue" w:hAnsi="Helvetica Neue" w:cs="Helvetica Neue"/>
          <w:sz w:val="25"/>
          <w:sz-cs w:val="25"/>
          <w:spacing w:val="0"/>
          <w:color w:val="B1421A"/>
        </w:rPr>
        <w:t xml:space="preserve"> by the Evidence Gate. Catch rate: 1.0.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B1421A"/>
        </w:rPr>
        <w:t xml:space="preserve">Adversarial Test 2: Real Quotes with False Claims ("The Semantic Sneak")</w:t>
      </w:r>
      <w:r>
        <w:rPr>
          <w:rFonts w:ascii="Helvetica Neue" w:hAnsi="Helvetica Neue" w:cs="Helvetica Neue"/>
          <w:sz w:val="25"/>
          <w:sz-cs w:val="25"/>
          <w:spacing w:val="0"/>
          <w:color w:val="B142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B1421A"/>
        </w:rPr>
        <w:t xml:space="preserve">5 real quotes attached to false claims were injected; 3 passed the coordinate check as tier </w:t>
      </w:r>
      <w:r>
        <w:rPr>
          <w:rFonts w:ascii="Helvetica Neue" w:hAnsi="Helvetica Neue" w:cs="Helvetica Neue"/>
          <w:sz w:val="25"/>
          <w:sz-cs w:val="25"/>
          <w:i/>
          <w:spacing w:val="0"/>
          <w:color w:val="B1421A"/>
        </w:rPr>
        <w:t xml:space="preserve">Probable</w:t>
      </w:r>
      <w:r>
        <w:rPr>
          <w:rFonts w:ascii="Helvetica Neue" w:hAnsi="Helvetica Neue" w:cs="Helvetica Neue"/>
          <w:sz w:val="25"/>
          <w:sz-cs w:val="25"/>
          <w:spacing w:val="0"/>
          <w:color w:val="B1421A"/>
        </w:rPr>
        <w:t xml:space="preserve">. This proved that coordinate verification validates text existence, not semantic claim truth.</w:t>
      </w:r>
      <w:r>
        <w:rPr>
          <w:rFonts w:ascii="Helvetica Neue" w:hAnsi="Helvetica Neue" w:cs="Helvetica Neue"/>
          <w:sz w:val="25"/>
          <w:sz-cs w:val="25"/>
          <w:spacing w:val="0"/>
          <w:color w:val="B1421A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B1421A"/>
        </w:rPr>
        <w:t xml:space="preserve">Architectural Mitigation:</w:t>
      </w:r>
      <w:r>
        <w:rPr>
          <w:rFonts w:ascii="Helvetica Neue" w:hAnsi="Helvetica Neue" w:cs="Helvetica Neue"/>
          <w:sz w:val="25"/>
          <w:sz-cs w:val="25"/>
          <w:spacing w:val="0"/>
          <w:color w:val="B1421A"/>
        </w:rPr>
        <w:t xml:space="preserve"> All LLM semantic findings are strictly capped at </w:t>
      </w:r>
      <w:r>
        <w:rPr>
          <w:rFonts w:ascii="Helvetica Neue" w:hAnsi="Helvetica Neue" w:cs="Helvetica Neue"/>
          <w:sz w:val="25"/>
          <w:sz-cs w:val="25"/>
          <w:i/>
          <w:spacing w:val="0"/>
          <w:color w:val="B1421A"/>
        </w:rPr>
        <w:t xml:space="preserve">Probable</w:t>
      </w:r>
      <w:r>
        <w:rPr>
          <w:rFonts w:ascii="Helvetica Neue" w:hAnsi="Helvetica Neue" w:cs="Helvetica Neue"/>
          <w:sz w:val="25"/>
          <w:sz-cs w:val="25"/>
          <w:spacing w:val="0"/>
          <w:color w:val="B1421A"/>
        </w:rPr>
        <w:t xml:space="preserve"> / </w:t>
      </w:r>
      <w:r>
        <w:rPr>
          <w:rFonts w:ascii="Helvetica Neue" w:hAnsi="Helvetica Neue" w:cs="Helvetica Neue"/>
          <w:sz w:val="25"/>
          <w:sz-cs w:val="25"/>
          <w:i/>
          <w:spacing w:val="0"/>
          <w:color w:val="B1421A"/>
        </w:rPr>
        <w:t xml:space="preserve">Needs Review</w:t>
      </w:r>
      <w:r>
        <w:rPr>
          <w:rFonts w:ascii="Helvetica Neue" w:hAnsi="Helvetica Neue" w:cs="Helvetica Neue"/>
          <w:sz w:val="25"/>
          <w:sz-cs w:val="25"/>
          <w:spacing w:val="0"/>
          <w:color w:val="B1421A"/>
        </w:rPr>
        <w:t xml:space="preserve"> and require Human-in-the-Loop review before export.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6. CONTINUOUS PRODUCTION MONITORING &amp; TELEMETRY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Production Metric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Measurement Formula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Target SLA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Intervention Threshold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Reviewer Accept Rate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Accepted Findings / Total Reviewed Findings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≥ 85%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&lt; 75% triggers prompt retuning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Field RFI Slip Rate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Missed defects discovered downstream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&lt; 2%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Root-cause analysis &amp; test update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Gate Rejection Rate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Blocked Claims / Total Proposed Findings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≤ 5%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&gt; 10% flags LLM prompt drift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Review Duration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Median engineer triage time per 100 sheets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&lt; 20 min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&gt; 30 min triggers UX refactor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7. PRODUCTION PILOT ACCEPTANCE CRITERIA (GO/NO-GO GATES)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Acceptance Gate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Metric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Pilot Target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Benchmark Status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Gate Status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Gate 1: Recall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Seeded defect catch rate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≥ 80.0%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100.0%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GO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Gate 2: Precision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Shipped findings true defect rate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≥ 85.0%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100.0%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GO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Gate 3: Provenance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Citation verification pass rate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100.0%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100.0%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GO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Gate 4: Clean Controls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False positives on clean sets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 Findings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 Findings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GO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Gate 5: Time Reduction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QC review time saved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≥ 30.0%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40% - 50%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GO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Gate 6: Runtime Latency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Full pipeline execution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&lt; 30 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0.78 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GO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5E6C84"/>
        </w:rPr>
        <w:t xml:space="preserve">CONFIDENTIAL • Uppteam / ISP Global Consulting Pvt. Ltd.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5E6C84"/>
        </w:rPr>
        <w:t xml:space="preserve">Deliverable 03: Comprehensive Evaluation Plan &amp; Hallucination Mitigation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