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2256A0"/>
        </w:rPr>
        <w:t xml:space="preserve">DELIVERABLE 04 — STRATEGY REPORT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>AEC Drawing Intelligence: Implementation Roadmap, Cost &amp; ROI Model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A4355"/>
        </w:rPr>
        <w:t xml:space="preserve">30-Day Phased Production Rollout, Infrastructure Cost Breakdown, Staffing Matrix &amp; Commercial ROI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Document ID: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DOC-AECDI-ROI-04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Revision: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Rev 1.0 (Final)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Author: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Sahil Navadiya (Process Lead)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Target: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Uppteam / ISP Global Consulting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1. EXECUTIVE SUMMARY &amp; STRATEGIC BUSINESS CONTEXT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 commercial Architectural Offshore Production (AOP), manual Quality Control represents 20% to 35% of total engineering hours. This document outlines the 30-day rollout plan, 90-day scaling model, compute cost budget, and financial ROI framework for Uppteam.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Key Strategic Metrics: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30-Day Rollout: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4 weekly sprints from shadow-baselining to executive sign-off.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QC Hours Saved: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40%–50% reduction in review cycle duration.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Lean Infrastructure: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$175/month cloud cost ($3.50/set) for 50 commercial sets/month.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Internal Margin Gain: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$71,280/year at target scale (50 sets/month).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Commercial Revenue: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$108,000/year new recurring revenue via external 'Second Eye' service.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2. 30-DAY PHASED IMPLEMENTATION ROADMAP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Sprint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Focus &amp; Activities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Key Deliverables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Exit Criteria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Week 1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Shadow QC pods across 3 projects; baseline hours; finalize Zero Data Retention accord.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Baseline QC metrics sheet; Security accord; CAD template index.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Hours signed off; Security approved.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Week 2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Calibrate title blocks for top 5 client CAD standards; benchmark 10 historical sets.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Custom CAD rules; historical eval report; precision/recall benchmark.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Recall ≥ 85% on historical data; 0 parser crashes.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Week 3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Deploy review UI &amp; folder watchers; shadow-pilot on 2 live projects alongside QC engineers.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Interactive review portal; Bluebeam &amp; Excel export pipelines; shadow log.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Zero deadline impact; ≥ 80% reviewer acceptance.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Week 4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Analyze rejection rationales; tune confidence thresholds; conduct team training workshop.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Calibrated pipeline; Engineer SOP; Executive sign-off report.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Formal Go/No-Go sign-off; ≥ 35% QC time savings.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3. 90-DAY SCALING &amp; COMMERCIALIZATION ROADMAP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Phase 2 (Days 31–60): Enterprise Rollout: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Expand platform to 100% of internal AOP drafting teams. Direct integration with Autodesk Construction Cloud (ACC) Issues API and automated BCF issue sync.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Phase 3 (Days 61–90): Commercial Launch: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Productize as an external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22938"/>
        </w:rPr>
        <w:t xml:space="preserve">"Second Eye" AI QA/QC Service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for U.S. and Canadian architectural firms at $450/set (24-hour turnaround, 80%+ gross margin).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4. COMPREHENSIVE INFRASTRUCTURE &amp; COMPUTE COST MODEL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Infrastructure Component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Technical Specification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Monthly Cost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Cost / Set (50 Sets)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API &amp; Extraction Compute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AWS t4g.xlarge / Hetzner CPX41 (4 vCPU, 16GB RAM)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$48.00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$0.96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Database &amp; Vector Storage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Managed PostgreSQL (pgvector) + SQLite cache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$35.00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$0.70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Object Storage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AWS S3 / Cloudflare R2 (100 GB storage + egress)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$12.00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$0.24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Workflow Automation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Self-hosted n8n instance (folder watchers, triggers)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$20.00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$0.40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LLM Semantic API Tokens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Claude 3.5 Sonnet / GPT-4o with Zero Data Retention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$45.00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$0.90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CI / Automated Eval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GitHub Actions regression test runners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$15.00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$0.30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Total Cloud Profile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Fully Managed Enterprise Cloud Setup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$175.00 / mo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$3.50 / set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5. ENGINEERING RESOURCE ALLOCATION &amp; STAFFING MATRIX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Team Role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Month 1 Allocation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Steady State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Primary Responsibilities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AI Process Lead (Sahil Navadiya)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50%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Architecture governance, prompt tuning, client integration, ROI reporting.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Full-Stack Python Engineer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Ingestion pipeline, APS API integration, database schema, review UI.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Senior AEC QC Specialist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25%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15%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Ground-truth annotation, shadow-pilot verification, training workshops.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IT &amp; Security Administrator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10% (Week 1)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On-demand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Zero Data Retention sign-off, network provisioning, SSO integration.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6. FINANCIAL ROI &amp; MARGIN EXPANSION MODELING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91C1F"/>
        </w:rPr>
        <w:t xml:space="preserve">Internal Drafting QC Cost Reduction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Adoption Scenario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Drawing Sets / Mo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Monthly Hours Saved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Monthly Savings ($22/hr)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Annual Savings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Conservative (25% reduction)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20 sets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60 hours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$1,320 / 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$15,840 / year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Base Case (40% reduction)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35 sets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168 hours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$3,696 / 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$44,352 / year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Target Scale (45% reduction)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50 sets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270 hours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$5,940 / 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$71,280 / year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Optimistic (50% reduction)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70 sets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420 hours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$9,240 / 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$110,880 / year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256A0"/>
        </w:rPr>
        <w:t xml:space="preserve">External Commercial Upside ("Second Eye" Service):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Marketed at $450/set to North American firms. Delivery cost: ~$88 (3 hrs offshore review + $3.50 compute).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256A0"/>
        </w:rPr>
        <w:t xml:space="preserve">Gross Margin: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 80.4% ($362 gross profit per set).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256A0"/>
        </w:rPr>
        <w:t xml:space="preserve">At 25 sets/month: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 $11,250/mo revenue =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256A0"/>
        </w:rPr>
        <w:t xml:space="preserve">$108,600 annual net contribution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7. RISK ASSESSMENT &amp; OPERATIONAL MITIGATION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Risk Item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Impact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Probability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Proactive Mitigation Strategy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Drawing Style Variability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Medium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Medium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Automated title block discovery with manual UI crop override fallback.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Client NDA &amp; Data Privacy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High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Low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Enterprise Zero Data Retention agreements; on-premise air-gapped Llama-3 option.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QC Engineer Adoption Friction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Medium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Medium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Shadowing in Week 1; positioning tool as an assistant with human sign-off.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False Sense of Security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High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Low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Watermark all outputs as 'Potential Discrepancies - Requires EOR Verification'.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5E6C84"/>
        </w:rPr>
        <w:t xml:space="preserve">CONFIDENTIAL • Uppteam / ISP Global Consulting Pvt. Ltd.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5E6C84"/>
        </w:rPr>
        <w:t xml:space="preserve">Deliverable 04: Implementation Roadmap, Infrastructure Cost &amp; ROI Analysis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