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left"/>
      </w:pPr>
      <w:r>
        <w:rPr>
          <w:rFonts w:ascii="Calibri" w:cs="Calibri" w:eastAsia="Calibri" w:hAnsi="Calibri"/>
          <w:b/>
          <w:bCs/>
          <w:color w:val="1F3864"/>
          <w:sz w:val="34"/>
          <w:szCs w:val="34"/>
        </w:rPr>
        <w:t xml:space="preserve">CAMECO CORPORATION</w:t>
      </w:r>
    </w:p>
    <w:p>
      <w:pPr>
        <w:spacing w:after="60" w:before="0"/>
      </w:pPr>
      <w:r>
        <w:rPr>
          <w:rFonts w:ascii="Calibri" w:cs="Calibri" w:eastAsia="Calibri" w:hAnsi="Calibri"/>
          <w:color w:val="444444"/>
          <w:sz w:val="21"/>
          <w:szCs w:val="21"/>
        </w:rPr>
        <w:t xml:space="preserve">DCF Equity Valuation — Base &amp; Upside Case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200"/>
      </w:tblGrid>
      <w:tr>
        <w:trPr>
          <w:tblHeader/>
        </w:trPr>
        <w:tc>
          <w:tcPr>
            <w:gridSpan w:val="1"/>
            <w:tcBorders>
              <w:top w:val="single" w:color="D9D9D9" w:sz="2"/>
              <w:left w:val="single" w:color="D9D9D9" w:sz="2"/>
              <w:bottom w:val="single" w:color="D9D9D9" w:sz="2"/>
              <w:right w:val="single" w:color="D9D9D9" w:sz="2"/>
            </w:tcBorders>
            <w:shd w:fill="1F3864" w:color="1F3864" w:val="clear"/>
          </w:tcPr>
          <w:p>
            <w:pPr>
              <w:spacing w:after="18" w:before="18"/>
              <w:ind w:left="60" w:right="60"/>
              <w:jc w:val="center"/>
            </w:pPr>
            <w:r>
              <w:rPr>
                <w:rFonts w:ascii="Calibri" w:cs="Calibri" w:eastAsia="Calibri" w:hAnsi="Calibri"/>
                <w:b/>
                <w:bCs/>
                <w:color w:val="FFFFFF"/>
                <w:sz w:val="17"/>
                <w:szCs w:val="17"/>
              </w:rPr>
              <w:t xml:space="preserve">TICKER</w:t>
            </w:r>
          </w:p>
        </w:tc>
        <w:tc>
          <w:tcPr>
            <w:gridSpan w:val="1"/>
            <w:tcBorders>
              <w:top w:val="single" w:color="D9D9D9" w:sz="2"/>
              <w:left w:val="single" w:color="D9D9D9" w:sz="2"/>
              <w:bottom w:val="single" w:color="D9D9D9" w:sz="2"/>
              <w:right w:val="single" w:color="D9D9D9" w:sz="2"/>
            </w:tcBorders>
            <w:shd w:fill="1F3864" w:color="1F3864" w:val="clear"/>
          </w:tcPr>
          <w:p>
            <w:pPr>
              <w:spacing w:after="18" w:before="18"/>
              <w:ind w:left="60" w:right="60"/>
              <w:jc w:val="center"/>
            </w:pPr>
            <w:r>
              <w:rPr>
                <w:rFonts w:ascii="Calibri" w:cs="Calibri" w:eastAsia="Calibri" w:hAnsi="Calibri"/>
                <w:b/>
                <w:bCs/>
                <w:color w:val="FFFFFF"/>
                <w:sz w:val="17"/>
                <w:szCs w:val="17"/>
              </w:rPr>
              <w:t xml:space="preserve">EXCHANGE</w:t>
            </w:r>
          </w:p>
        </w:tc>
        <w:tc>
          <w:tcPr>
            <w:gridSpan w:val="1"/>
            <w:tcBorders>
              <w:top w:val="single" w:color="D9D9D9" w:sz="2"/>
              <w:left w:val="single" w:color="D9D9D9" w:sz="2"/>
              <w:bottom w:val="single" w:color="D9D9D9" w:sz="2"/>
              <w:right w:val="single" w:color="D9D9D9" w:sz="2"/>
            </w:tcBorders>
            <w:shd w:fill="1F3864" w:color="1F3864" w:val="clear"/>
          </w:tcPr>
          <w:p>
            <w:pPr>
              <w:spacing w:after="18" w:before="18"/>
              <w:ind w:left="60" w:right="60"/>
              <w:jc w:val="center"/>
            </w:pPr>
            <w:r>
              <w:rPr>
                <w:rFonts w:ascii="Calibri" w:cs="Calibri" w:eastAsia="Calibri" w:hAnsi="Calibri"/>
                <w:b/>
                <w:bCs/>
                <w:color w:val="FFFFFF"/>
                <w:sz w:val="17"/>
                <w:szCs w:val="17"/>
              </w:rPr>
              <w:t xml:space="preserve">BASE CASE (CDN$)</w:t>
            </w:r>
          </w:p>
        </w:tc>
        <w:tc>
          <w:tcPr>
            <w:gridSpan w:val="1"/>
            <w:tcBorders>
              <w:top w:val="single" w:color="D9D9D9" w:sz="2"/>
              <w:left w:val="single" w:color="D9D9D9" w:sz="2"/>
              <w:bottom w:val="single" w:color="D9D9D9" w:sz="2"/>
              <w:right w:val="single" w:color="D9D9D9" w:sz="2"/>
            </w:tcBorders>
            <w:shd w:fill="1F3864" w:color="1F3864" w:val="clear"/>
          </w:tcPr>
          <w:p>
            <w:pPr>
              <w:spacing w:after="18" w:before="18"/>
              <w:ind w:left="60" w:right="60"/>
              <w:jc w:val="center"/>
            </w:pPr>
            <w:r>
              <w:rPr>
                <w:rFonts w:ascii="Calibri" w:cs="Calibri" w:eastAsia="Calibri" w:hAnsi="Calibri"/>
                <w:b/>
                <w:bCs/>
                <w:color w:val="FFFFFF"/>
                <w:sz w:val="17"/>
                <w:szCs w:val="17"/>
              </w:rPr>
              <w:t xml:space="preserve">UPSIDE CASE (CDN$)</w:t>
            </w:r>
          </w:p>
        </w:tc>
        <w:tc>
          <w:tcPr>
            <w:gridSpan w:val="1"/>
            <w:tcBorders>
              <w:top w:val="single" w:color="D9D9D9" w:sz="2"/>
              <w:left w:val="single" w:color="D9D9D9" w:sz="2"/>
              <w:bottom w:val="single" w:color="D9D9D9" w:sz="2"/>
              <w:right w:val="single" w:color="D9D9D9" w:sz="2"/>
            </w:tcBorders>
            <w:shd w:fill="1F3864" w:color="1F3864" w:val="clear"/>
          </w:tcPr>
          <w:p>
            <w:pPr>
              <w:spacing w:after="18" w:before="18"/>
              <w:ind w:left="60" w:right="60"/>
              <w:jc w:val="center"/>
            </w:pPr>
            <w:r>
              <w:rPr>
                <w:rFonts w:ascii="Calibri" w:cs="Calibri" w:eastAsia="Calibri" w:hAnsi="Calibri"/>
                <w:b/>
                <w:bCs/>
                <w:color w:val="FFFFFF"/>
                <w:sz w:val="17"/>
                <w:szCs w:val="17"/>
              </w:rPr>
              <w:t xml:space="preserve">MARKET PRICE (CDN$)</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000000"/>
                <w:sz w:val="17"/>
                <w:szCs w:val="17"/>
              </w:rPr>
              <w:t xml:space="preserve">CCJ / CCO</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NYSE / TSX</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E6B2E"/>
                <w:sz w:val="17"/>
                <w:szCs w:val="17"/>
              </w:rPr>
              <w:t xml:space="preserve">~$50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E6B2E"/>
                <w:sz w:val="17"/>
                <w:szCs w:val="17"/>
              </w:rPr>
              <w:t xml:space="preserve">~$94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555555"/>
                <w:sz w:val="17"/>
                <w:szCs w:val="17"/>
              </w:rPr>
              <w:t xml:space="preserve">~$139</w:t>
            </w:r>
          </w:p>
        </w:tc>
      </w:tr>
    </w:tbl>
    <w:p>
      <w:pPr>
        <w:spacing w:after="0" w:before="60"/>
      </w:pPr>
    </w:p>
    <w:p>
      <w:pPr>
        <w:shd w:fill="1F3864" w:color="1F3864" w:val="clear"/>
        <w:spacing w:after="40" w:before="80"/>
        <w:ind w:left="144" w:right="144"/>
      </w:pPr>
      <w:r>
        <w:rPr>
          <w:rFonts w:ascii="Calibri" w:cs="Calibri" w:eastAsia="Calibri" w:hAnsi="Calibri"/>
          <w:b/>
          <w:bCs/>
          <w:color w:val="FFFFFF"/>
          <w:sz w:val="20"/>
          <w:szCs w:val="20"/>
        </w:rPr>
        <w:t xml:space="preserve">1.  COMPANY OVERVIEW</w:t>
      </w:r>
    </w:p>
    <w:p>
      <w:pPr>
        <w:spacing w:after="10" w:before="10"/>
        <w:ind w:left="144" w:right="144"/>
      </w:pPr>
      <w:r>
        <w:rPr>
          <w:rFonts w:ascii="Calibri" w:cs="Calibri" w:eastAsia="Calibri" w:hAnsi="Calibri"/>
          <w:color w:val="000000"/>
          <w:sz w:val="18"/>
          <w:szCs w:val="18"/>
        </w:rPr>
        <w:t xml:space="preserve">Cameco Corporation is the world's largest publicly traded uranium producer, headquartered in Saskatoon, Saskatchewan. Its flagship asset — the McArthur River/Key Lake operation — is the highest-grade uranium mine on earth, producing uranium at a cost structure that is nearly impossible to replicate. In 2023, Cameco acquired a 49% ownership stake in Westinghouse Electric Company, the dominant supplier of nuclear fuel and reactor services to Western utilities, alongside Brookfield Renewable.</w:t>
      </w:r>
    </w:p>
    <w:p>
      <w:pPr>
        <w:spacing w:after="10" w:before="10"/>
        <w:ind w:left="144" w:right="144"/>
      </w:pPr>
      <w:r>
        <w:rPr>
          <w:rFonts w:ascii="Calibri" w:cs="Calibri" w:eastAsia="Calibri" w:hAnsi="Calibri"/>
          <w:color w:val="000000"/>
          <w:sz w:val="18"/>
          <w:szCs w:val="18"/>
        </w:rPr>
        <w:t xml:space="preserve">Cameco sells uranium under a combination of long-term fixed and market-linked contracts with utilities worldwide. Its dual-listed shares (CCJ on NYSE, CCO on TSX) reflect the company's North American operating base and a predominantly USD-denominated revenue stream.</w:t>
      </w:r>
    </w:p>
    <w:p>
      <w:pPr>
        <w:shd w:fill="1F3864" w:color="1F3864" w:val="clear"/>
        <w:spacing w:after="40" w:before="80"/>
        <w:ind w:left="144" w:right="144"/>
      </w:pPr>
      <w:r>
        <w:rPr>
          <w:rFonts w:ascii="Calibri" w:cs="Calibri" w:eastAsia="Calibri" w:hAnsi="Calibri"/>
          <w:b/>
          <w:bCs/>
          <w:color w:val="FFFFFF"/>
          <w:sz w:val="20"/>
          <w:szCs w:val="20"/>
        </w:rPr>
        <w:t xml:space="preserve">2.  METHODOLOGY</w:t>
      </w:r>
    </w:p>
    <w:p>
      <w:pPr>
        <w:spacing w:after="10" w:before="10"/>
        <w:ind w:left="144" w:right="144"/>
      </w:pPr>
      <w:r>
        <w:rPr>
          <w:rFonts w:ascii="Calibri" w:cs="Calibri" w:eastAsia="Calibri" w:hAnsi="Calibri"/>
          <w:color w:val="000000"/>
          <w:sz w:val="18"/>
          <w:szCs w:val="18"/>
        </w:rPr>
        <w:t xml:space="preserve">The valuation uses an Unlevered Free Cash Flow (UFCF) discounted cash flow framework with a mid-year discounting convention, reflecting the assumption that cash flows are generated evenly throughout each year. Five years of historical actuals (2021A–2025A) were modeled to calibrate projection assumptions. Projections span nine years (2027E–2035E), with a terminal value applied at year-end 2035 using the Gordon Growth Model.</w:t>
      </w:r>
    </w:p>
    <w:p>
      <w:pPr>
        <w:spacing w:after="10" w:before="10"/>
        <w:ind w:left="144" w:right="144"/>
      </w:pPr>
      <w:r>
        <w:rPr>
          <w:rFonts w:ascii="Calibri" w:cs="Calibri" w:eastAsia="Calibri" w:hAnsi="Calibri"/>
          <w:color w:val="000000"/>
          <w:sz w:val="18"/>
          <w:szCs w:val="18"/>
        </w:rPr>
        <w:t xml:space="preserve">UFCF is defined as: NOPAT + D&amp;A − ΔWorking Capital − Capex + Westinghouse dividends received. Westinghouse is treated as an IFRS equity-accounted investment — equity earnings flow through the Income Statement as a non-cash item and are stripped out of UFCF; only actual cash dividends received from Westinghouse are included. This is a critical modeling distinction that most simplified models miss.</w:t>
      </w:r>
    </w:p>
    <w:p>
      <w:pPr>
        <w:shd w:fill="1F3864" w:color="1F3864" w:val="clear"/>
        <w:spacing w:after="40" w:before="80"/>
        <w:ind w:left="144" w:right="144"/>
      </w:pPr>
      <w:r>
        <w:rPr>
          <w:rFonts w:ascii="Calibri" w:cs="Calibri" w:eastAsia="Calibri" w:hAnsi="Calibri"/>
          <w:b/>
          <w:bCs/>
          <w:color w:val="FFFFFF"/>
          <w:sz w:val="20"/>
          <w:szCs w:val="20"/>
        </w:rPr>
        <w:t xml:space="preserve">3.  WACC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rPr>
          <w:tblHeader/>
        </w:trPr>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left"/>
            </w:pPr>
            <w:r>
              <w:rPr>
                <w:rFonts w:ascii="Calibri" w:cs="Calibri" w:eastAsia="Calibri" w:hAnsi="Calibri"/>
                <w:b/>
                <w:bCs/>
                <w:color w:val="000000"/>
                <w:sz w:val="17"/>
                <w:szCs w:val="17"/>
              </w:rPr>
              <w:t xml:space="preserve">Assumption</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Base Case</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Upside Case</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Risk-Free Rate (Canadian 10Y Gov't Bond)</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3.7%</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3.7%</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Equity Risk Premium (Damodaran, Canada 2025)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5.5%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5.5%</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Beta (5Y Monthly vs. TSX)</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1.15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1.00</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Cost of Equity (CAPM)</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000000"/>
                <w:sz w:val="17"/>
                <w:szCs w:val="17"/>
              </w:rPr>
              <w:t xml:space="preserve">10.0%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000000"/>
                <w:sz w:val="17"/>
                <w:szCs w:val="17"/>
              </w:rPr>
              <w:t xml:space="preserve">9.2%</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Pre-Tax Cost of Debt</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4.9%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4.9%</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Effective Tax Rate</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29.0%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29.0%</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WACC</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F3864"/>
                <w:sz w:val="17"/>
                <w:szCs w:val="17"/>
              </w:rPr>
              <w:t xml:space="preserve">~10.2%</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F3864"/>
                <w:sz w:val="17"/>
                <w:szCs w:val="17"/>
              </w:rPr>
              <w:t xml:space="preserve">~9.1%</w:t>
            </w:r>
          </w:p>
        </w:tc>
      </w:tr>
    </w:tbl>
    <w:p>
      <w:pPr>
        <w:spacing w:after="0" w:before="40"/>
      </w:pPr>
    </w:p>
    <w:p>
      <w:pPr>
        <w:spacing w:after="10" w:before="10"/>
        <w:ind w:left="144" w:right="144"/>
      </w:pPr>
      <w:r>
        <w:rPr>
          <w:rFonts w:ascii="Calibri" w:cs="Calibri" w:eastAsia="Calibri" w:hAnsi="Calibri"/>
          <w:color w:val="000000"/>
          <w:sz w:val="18"/>
          <w:szCs w:val="18"/>
        </w:rPr>
        <w:t xml:space="preserve">The base case applies a sector risk premium above Cameco's observed market beta of 0.99, reflecting uranium's commodity cyclicality. The upside case uses the market's own observed beta, justified by Cameco's evolution toward a critical infrastructure company with long-term contracted revenue.</w:t>
      </w:r>
    </w:p>
    <w:p>
      <w:pPr>
        <w:shd w:fill="1F3864" w:color="1F3864" w:val="clear"/>
        <w:spacing w:after="40" w:before="80"/>
        <w:ind w:left="144" w:right="144"/>
      </w:pPr>
      <w:r>
        <w:rPr>
          <w:rFonts w:ascii="Calibri" w:cs="Calibri" w:eastAsia="Calibri" w:hAnsi="Calibri"/>
          <w:b/>
          <w:bCs/>
          <w:color w:val="FFFFFF"/>
          <w:sz w:val="20"/>
          <w:szCs w:val="20"/>
        </w:rPr>
        <w:t xml:space="preserve">4.  KEY PROJECTION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rPr>
          <w:tblHeader/>
        </w:trPr>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left"/>
            </w:pPr>
            <w:r>
              <w:rPr>
                <w:rFonts w:ascii="Calibri" w:cs="Calibri" w:eastAsia="Calibri" w:hAnsi="Calibri"/>
                <w:b/>
                <w:bCs/>
                <w:color w:val="000000"/>
                <w:sz w:val="17"/>
                <w:szCs w:val="17"/>
              </w:rPr>
              <w:t xml:space="preserve">Assumption</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Base Case</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Upside Case</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Uranium Market Share (% of ~261M lb global supply)</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13%  (~33.9M lbs)</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20%  (~52.2M lbs)</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Uranium Realized Price Growth (2026E base: $86.50/lb CDN$)</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Spot-linked, ~5–7%/yr</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Spot-linked, ~5–7%/yr</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Westinghouse Dividends Received (CDN$K base: $492,118)</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 annual growth</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7% annual growth</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Terminal Growth Rate (g)</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3.0%</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Shares Outstanding</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435.5M</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435.5M</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Projection Period</w:t>
            </w:r>
          </w:p>
        </w:tc>
        <w:tc>
          <w:tcPr>
            <w:gridSpan w:val="2"/>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2027E – 2035E (9 years)</w:t>
            </w:r>
          </w:p>
        </w:tc>
        <w:tc>
          <w:tcPr>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
            </w:r>
          </w:p>
        </w:tc>
      </w:tr>
    </w:tbl>
    <w:p>
      <w:pPr>
        <w:spacing w:after="0" w:before="40"/>
      </w:pPr>
    </w:p>
    <w:p>
      <w:pPr>
        <w:spacing w:after="10" w:before="10"/>
        <w:ind w:left="144" w:right="144"/>
      </w:pPr>
      <w:r>
        <w:rPr>
          <w:rFonts w:ascii="Calibri" w:cs="Calibri" w:eastAsia="Calibri" w:hAnsi="Calibri"/>
          <w:color w:val="000000"/>
          <w:sz w:val="18"/>
          <w:szCs w:val="18"/>
        </w:rPr>
        <w:t xml:space="preserve">Uranium realized price follows Cameco's proprietary pricing formula — a blend of spot-linked and fixed-price contracts — not raw spot alone. The 2026E realized price of $86.50/lb CDN$ is based on the current spot rate ($89.85/lb USD as of August 2026) and Cameco's historical realization discount. Volume growth reflects incremental production ramp from McArthur River and potential Cigar Lake contributions; 20% global share in the upside case assumes Cameco captures a disproportionate share of new utility contract demand driven by Western energy security policy.</w:t>
      </w:r>
    </w:p>
    <w:p>
      <w:pPr>
        <w:shd w:fill="1F3864" w:color="1F3864" w:val="clear"/>
        <w:spacing w:after="40" w:before="80"/>
        <w:ind w:left="144" w:right="144"/>
      </w:pPr>
      <w:r>
        <w:rPr>
          <w:rFonts w:ascii="Calibri" w:cs="Calibri" w:eastAsia="Calibri" w:hAnsi="Calibri"/>
          <w:b/>
          <w:bCs/>
          <w:color w:val="FFFFFF"/>
          <w:sz w:val="20"/>
          <w:szCs w:val="20"/>
        </w:rPr>
        <w:t xml:space="preserve">5.  VALUATION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rPr>
          <w:tblHeader/>
        </w:trPr>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left"/>
            </w:pPr>
            <w:r>
              <w:rPr>
                <w:rFonts w:ascii="Calibri" w:cs="Calibri" w:eastAsia="Calibri" w:hAnsi="Calibri"/>
                <w:b/>
                <w:bCs/>
                <w:color w:val="000000"/>
                <w:sz w:val="17"/>
                <w:szCs w:val="17"/>
              </w:rPr>
              <w:t xml:space="preserve">Metric</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Base Case</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7"/>
                <w:szCs w:val="17"/>
              </w:rPr>
              <w:t xml:space="preserve">Upside Case</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PV of UFCF (2027E–2035E)</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~$12.5B CDN$K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~$12.5B CDN$K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PV of Terminal Value</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~$X.XB CDN$K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~$28.4B CDN$K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Enterprise Value</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~$X.XB CDN$K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~$41.0B CDN$K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 Cash &amp; Equivalents</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$1,114,860K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$1,114,860K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 Total Debt</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($996,348K)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($996,348K)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 Non-Controlling Interests</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($15K)</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7"/>
                <w:szCs w:val="17"/>
              </w:rPr>
              <w:t xml:space="preserve">($15K)</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Implied Share Price (CDN$)</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E6B2E"/>
                <w:sz w:val="17"/>
                <w:szCs w:val="17"/>
              </w:rPr>
              <w:t xml:space="preserve">~$50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E6B2E"/>
                <w:sz w:val="17"/>
                <w:szCs w:val="17"/>
              </w:rPr>
              <w:t xml:space="preserve">~$94</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Implied Share Price (USD$, ÷1.40)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000000"/>
                <w:sz w:val="17"/>
                <w:szCs w:val="17"/>
              </w:rPr>
              <w:t xml:space="preserve">~$36</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000000"/>
                <w:sz w:val="17"/>
                <w:szCs w:val="17"/>
              </w:rPr>
              <w:t xml:space="preserve">~$67</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Current Market Price (CDN$)</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888888"/>
                <w:sz w:val="17"/>
                <w:szCs w:val="17"/>
              </w:rPr>
              <w:t xml:space="preserve">~$139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888888"/>
                <w:sz w:val="17"/>
                <w:szCs w:val="17"/>
              </w:rPr>
              <w:t xml:space="preserve">~$139</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7"/>
                <w:szCs w:val="17"/>
              </w:rPr>
              <w:t xml:space="preserve">Implied Upside / (Downside) vs. Market</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8B0000"/>
                <w:sz w:val="17"/>
                <w:szCs w:val="17"/>
              </w:rPr>
              <w:t xml:space="preserve">(64%)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8B0000"/>
                <w:sz w:val="17"/>
                <w:szCs w:val="17"/>
              </w:rPr>
              <w:t xml:space="preserve">(32%)</w:t>
            </w:r>
          </w:p>
        </w:tc>
      </w:tr>
    </w:tbl>
    <w:p>
      <w:pPr>
        <w:spacing w:after="0" w:before="40"/>
      </w:pPr>
    </w:p>
    <w:p>
      <w:pPr>
        <w:spacing w:after="10" w:before="10"/>
        <w:ind w:left="144" w:right="144"/>
      </w:pPr>
      <w:r>
        <w:rPr>
          <w:rFonts w:ascii="Calibri" w:cs="Calibri" w:eastAsia="Calibri" w:hAnsi="Calibri"/>
          <w:color w:val="000000"/>
          <w:sz w:val="18"/>
          <w:szCs w:val="18"/>
        </w:rPr>
        <w:t xml:space="preserve">Even in the upside case, our DCF implies the stock is trading at a ~32% premium to intrinsic value. This is not a model failure — it is an intentional finding. Cameco trades at a strategic scarcity premium that DCF methodology cannot capture, discussed in Section 7.</w:t>
      </w:r>
    </w:p>
    <w:p>
      <w:pPr>
        <w:shd w:fill="1F3864" w:color="1F3864" w:val="clear"/>
        <w:spacing w:after="40" w:before="80"/>
        <w:ind w:left="144" w:right="144"/>
      </w:pPr>
      <w:r>
        <w:rPr>
          <w:rFonts w:ascii="Calibri" w:cs="Calibri" w:eastAsia="Calibri" w:hAnsi="Calibri"/>
          <w:b/>
          <w:bCs/>
          <w:color w:val="FFFFFF"/>
          <w:sz w:val="20"/>
          <w:szCs w:val="20"/>
        </w:rPr>
        <w:t xml:space="preserve">6.  SENSITIVITY ANALYSIS — IMPLIED SHARE PRICE (CDN$)</w:t>
      </w:r>
    </w:p>
    <w:p>
      <w:pPr>
        <w:spacing w:after="10" w:before="10"/>
        <w:ind w:left="144" w:right="144"/>
      </w:pPr>
      <w:r>
        <w:rPr>
          <w:rFonts w:ascii="Calibri" w:cs="Calibri" w:eastAsia="Calibri" w:hAnsi="Calibri"/>
          <w:color w:val="000000"/>
          <w:sz w:val="18"/>
          <w:szCs w:val="18"/>
        </w:rPr>
        <w:t xml:space="preserve">The table below shows implied share price across WACC (8.5%–11.5%) and terminal growth rate (1.0%–3.5%) combinations. Base case highlighted in yellow (10.5% WACC, 2.5% g). All 42 cells are live formula-driven in the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430"/>
        <w:gridCol w:w="1430"/>
        <w:gridCol w:w="1430"/>
        <w:gridCol w:w="1430"/>
        <w:gridCol w:w="1430"/>
        <w:gridCol w:w="1430"/>
        <w:gridCol w:w="1430"/>
      </w:tblGrid>
      <w:tr>
        <w:trPr>
          <w:tblHeader/>
        </w:trPr>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left"/>
            </w:pPr>
            <w:r>
              <w:rPr>
                <w:rFonts w:ascii="Calibri" w:cs="Calibri" w:eastAsia="Calibri" w:hAnsi="Calibri"/>
                <w:b/>
                <w:bCs/>
                <w:color w:val="000000"/>
                <w:sz w:val="16"/>
                <w:szCs w:val="16"/>
              </w:rPr>
              <w:t xml:space="preserve">g  ↓  /  WACC  →</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8.5%</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9.0%</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9.5%</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10.0%</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10.5%</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11.0%</w:t>
            </w:r>
          </w:p>
        </w:tc>
        <w:tc>
          <w:tcPr>
            <w:gridSpan w:val="1"/>
            <w:tcBorders>
              <w:top w:val="single" w:color="D9D9D9" w:sz="2"/>
              <w:left w:val="single" w:color="D9D9D9" w:sz="2"/>
              <w:bottom w:val="single" w:color="D9D9D9" w:sz="2"/>
              <w:right w:val="single" w:color="D9D9D9" w:sz="2"/>
            </w:tcBorders>
            <w:shd w:fill="F2F2F2" w:color="F2F2F2" w:val="clear"/>
          </w:tcPr>
          <w:p>
            <w:pPr>
              <w:spacing w:after="18" w:before="18"/>
              <w:ind w:left="60" w:right="60"/>
              <w:jc w:val="center"/>
            </w:pPr>
            <w:r>
              <w:rPr>
                <w:rFonts w:ascii="Calibri" w:cs="Calibri" w:eastAsia="Calibri" w:hAnsi="Calibri"/>
                <w:b/>
                <w:bCs/>
                <w:color w:val="000000"/>
                <w:sz w:val="16"/>
                <w:szCs w:val="16"/>
              </w:rPr>
              <w:t xml:space="preserve">11.5%</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1.0%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$78</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$73</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$68</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$57</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1.5%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$82</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$76</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$71</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$66</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$62</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$58</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2.0%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$93</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$86</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$60</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2.5%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$98</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$90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$83</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$77</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bCs/>
                <w:color w:val="1F3864"/>
                <w:sz w:val="16"/>
                <w:szCs w:val="16"/>
              </w:rPr>
              <w:t xml:space="preserve">$72 ★</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$67</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$62</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3.0%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$104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$95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$88</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$81</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$70</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$65</w:t>
            </w:r>
          </w:p>
        </w:tc>
      </w:tr>
      <w:tr>
        <w:trPr>
          <w:tblHeader w:val="false"/>
        </w:trPr>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left"/>
            </w:pPr>
            <w:r>
              <w:rPr>
                <w:rFonts w:ascii="Calibri" w:cs="Calibri" w:eastAsia="Calibri" w:hAnsi="Calibri"/>
                <w:b w:val="false"/>
                <w:bCs w:val="false"/>
                <w:color w:val="000000"/>
                <w:sz w:val="16"/>
                <w:szCs w:val="16"/>
              </w:rPr>
              <w:t xml:space="preserve">3.5%</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$111</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$101</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$93</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$86</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$79</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$74</w:t>
            </w:r>
          </w:p>
        </w:tc>
        <w:tc>
          <w:tcPr>
            <w:gridSpan w:val="1"/>
            <w:tcBorders>
              <w:top w:val="single" w:color="D9D9D9" w:sz="2"/>
              <w:left w:val="single" w:color="D9D9D9" w:sz="2"/>
              <w:bottom w:val="single" w:color="D9D9D9" w:sz="2"/>
              <w:right w:val="single" w:color="D9D9D9" w:sz="2"/>
            </w:tcBorders>
            <w:shd w:fill="FFFFFF" w:color="FFFFFF" w:val="clear"/>
          </w:tcPr>
          <w:p>
            <w:pPr>
              <w:spacing w:after="18" w:before="18"/>
              <w:ind w:left="60" w:right="60"/>
              <w:jc w:val="center"/>
            </w:pPr>
            <w:r>
              <w:rPr>
                <w:rFonts w:ascii="Calibri" w:cs="Calibri" w:eastAsia="Calibri" w:hAnsi="Calibri"/>
                <w:b w:val="false"/>
                <w:bCs w:val="false"/>
                <w:color w:val="000000"/>
                <w:sz w:val="16"/>
                <w:szCs w:val="16"/>
              </w:rPr>
              <w:t xml:space="preserve">$68</w:t>
            </w:r>
          </w:p>
        </w:tc>
      </w:tr>
    </w:tbl>
    <w:p>
      <w:pPr>
        <w:spacing w:after="40" w:before="30"/>
        <w:ind w:left="144"/>
      </w:pPr>
      <w:r>
        <w:rPr>
          <w:rFonts w:ascii="Calibri" w:cs="Calibri" w:eastAsia="Calibri" w:hAnsi="Calibri"/>
          <w:i/>
          <w:iCs/>
          <w:color w:val="888888"/>
          <w:sz w:val="15"/>
          <w:szCs w:val="15"/>
        </w:rPr>
        <w:t xml:space="preserve">★ Base case (10.5% WACC, 2.5% g). All values CDN$ per share.</w:t>
      </w:r>
    </w:p>
    <w:p>
      <w:pPr>
        <w:shd w:fill="1F3864" w:color="1F3864" w:val="clear"/>
        <w:spacing w:after="40" w:before="80"/>
        <w:ind w:left="144" w:right="144"/>
      </w:pPr>
      <w:r>
        <w:rPr>
          <w:rFonts w:ascii="Calibri" w:cs="Calibri" w:eastAsia="Calibri" w:hAnsi="Calibri"/>
          <w:b/>
          <w:bCs/>
          <w:color w:val="FFFFFF"/>
          <w:sz w:val="20"/>
          <w:szCs w:val="20"/>
        </w:rPr>
        <w:t xml:space="preserve">7.  QUALITATIVE CONSIDERATIONS NOT CAPTURED IN THE MODEL</w:t>
      </w:r>
    </w:p>
    <w:p>
      <w:pPr>
        <w:spacing w:after="10" w:before="10"/>
        <w:ind w:left="144" w:right="144"/>
      </w:pPr>
      <w:r>
        <w:rPr>
          <w:rFonts w:ascii="Calibri" w:cs="Calibri" w:eastAsia="Calibri" w:hAnsi="Calibri"/>
          <w:color w:val="000000"/>
          <w:sz w:val="18"/>
          <w:szCs w:val="18"/>
        </w:rPr>
        <w:t xml:space="preserve">The following factors are material to Cameco's long-term investment thesis but cannot be reliably quantified within a 9-year DCF framework. They explain why the market consistently prices Cameco above DCF intrinsic value, and represent both potential upside optionality and risks.</w:t>
      </w:r>
    </w:p>
    <w:p>
      <w:pPr>
        <w:pStyle w:val="ListParagraph"/>
        <w:numPr>
          <w:ilvl w:val="0"/>
          <w:numId w:val="1"/>
        </w:numPr>
        <w:spacing w:after="10" w:before="10"/>
        <w:ind w:left="360" w:hanging="187"/>
      </w:pPr>
      <w:r>
        <w:rPr>
          <w:rFonts w:ascii="Calibri" w:cs="Calibri" w:eastAsia="Calibri" w:hAnsi="Calibri"/>
          <w:b/>
          <w:bCs/>
          <w:sz w:val="17"/>
          <w:szCs w:val="17"/>
        </w:rPr>
        <w:t xml:space="preserve">Energy Demand Tailwind: </w:t>
      </w:r>
      <w:r>
        <w:rPr>
          <w:rFonts w:ascii="Calibri" w:cs="Calibri" w:eastAsia="Calibri" w:hAnsi="Calibri"/>
          <w:sz w:val="17"/>
          <w:szCs w:val="17"/>
        </w:rPr>
        <w:t xml:space="preserve">AI &amp; data center electricity demand is accelerating beyond grid capacity. Hyperscalers (Microsoft, Google, Amazon) have begun signing long-term nuclear power purchase agreements (PPAs) directly with utilities — utilities that in turn need more fuel. Nuclear is the only zero-carbon baseload energy source that can scale to meet this demand. Cameco is the primary beneficiary of every new reactor that comes online in the Western world.</w:t>
      </w:r>
    </w:p>
    <w:p>
      <w:pPr>
        <w:pStyle w:val="ListParagraph"/>
        <w:numPr>
          <w:ilvl w:val="0"/>
          <w:numId w:val="1"/>
        </w:numPr>
        <w:spacing w:after="10" w:before="10"/>
        <w:ind w:left="360" w:hanging="187"/>
      </w:pPr>
      <w:r>
        <w:rPr>
          <w:rFonts w:ascii="Calibri" w:cs="Calibri" w:eastAsia="Calibri" w:hAnsi="Calibri"/>
          <w:b/>
          <w:bCs/>
          <w:sz w:val="17"/>
          <w:szCs w:val="17"/>
        </w:rPr>
        <w:t xml:space="preserve">Western Supply Security Policy: </w:t>
      </w:r>
      <w:r>
        <w:rPr>
          <w:rFonts w:ascii="Calibri" w:cs="Calibri" w:eastAsia="Calibri" w:hAnsi="Calibri"/>
          <w:sz w:val="17"/>
          <w:szCs w:val="17"/>
        </w:rPr>
        <w:t xml:space="preserve">The US Prohibiting Russian Uranium Imports Act (2024) bans Russian-origin uranium from US reactors. As Russian supply is removed from the Western market, Cameco's contracted volumes become more strategically critical. Western governments are now actively supporting domestic and allied uranium supply chains — Cameco is effectively a policy-backed supplier.</w:t>
      </w:r>
    </w:p>
    <w:p>
      <w:pPr>
        <w:pStyle w:val="ListParagraph"/>
        <w:numPr>
          <w:ilvl w:val="0"/>
          <w:numId w:val="1"/>
        </w:numPr>
        <w:spacing w:after="10" w:before="10"/>
        <w:ind w:left="360" w:hanging="187"/>
      </w:pPr>
      <w:r>
        <w:rPr>
          <w:rFonts w:ascii="Calibri" w:cs="Calibri" w:eastAsia="Calibri" w:hAnsi="Calibri"/>
          <w:b/>
          <w:bCs/>
          <w:sz w:val="17"/>
          <w:szCs w:val="17"/>
        </w:rPr>
        <w:t xml:space="preserve">Long-Term Contract Re-pricing Optionality: </w:t>
      </w:r>
      <w:r>
        <w:rPr>
          <w:rFonts w:ascii="Calibri" w:cs="Calibri" w:eastAsia="Calibri" w:hAnsi="Calibri"/>
          <w:sz w:val="17"/>
          <w:szCs w:val="17"/>
        </w:rPr>
        <w:t xml:space="preserve">Cameco holds long-term contracts with utilities at prices below current spot. As older contracts expire and are renegotiated at current market rates ($85–100+/lb), realized price per pound will increase structurally — this is not fully reflected in projection-period revenue, which anchors to a modest spot growth assumption.</w:t>
      </w:r>
    </w:p>
    <w:p>
      <w:pPr>
        <w:pStyle w:val="ListParagraph"/>
        <w:numPr>
          <w:ilvl w:val="0"/>
          <w:numId w:val="1"/>
        </w:numPr>
        <w:spacing w:after="10" w:before="10"/>
        <w:ind w:left="360" w:hanging="187"/>
      </w:pPr>
      <w:r>
        <w:rPr>
          <w:rFonts w:ascii="Calibri" w:cs="Calibri" w:eastAsia="Calibri" w:hAnsi="Calibri"/>
          <w:b/>
          <w:bCs/>
          <w:sz w:val="17"/>
          <w:szCs w:val="17"/>
        </w:rPr>
        <w:t xml:space="preserve">Irreplaceable Asset Base — McArthur River: </w:t>
      </w:r>
      <w:r>
        <w:rPr>
          <w:rFonts w:ascii="Calibri" w:cs="Calibri" w:eastAsia="Calibri" w:hAnsi="Calibri"/>
          <w:sz w:val="17"/>
          <w:szCs w:val="17"/>
        </w:rPr>
        <w:t xml:space="preserve">McArthur River is a 1.3 billion pound resource with an operating life measured in decades. Cigar Lake, another Cameco-operated mine, adds further reserve depth. These assets cannot be replicated — there is no second McArthur River in development. This creates a floor of strategic asset value that DCF does not price.</w:t>
      </w:r>
    </w:p>
    <w:p>
      <w:pPr>
        <w:pStyle w:val="ListParagraph"/>
        <w:numPr>
          <w:ilvl w:val="0"/>
          <w:numId w:val="1"/>
        </w:numPr>
        <w:spacing w:after="10" w:before="10"/>
        <w:ind w:left="360" w:hanging="187"/>
      </w:pPr>
      <w:r>
        <w:rPr>
          <w:rFonts w:ascii="Calibri" w:cs="Calibri" w:eastAsia="Calibri" w:hAnsi="Calibri"/>
          <w:b/>
          <w:bCs/>
          <w:sz w:val="17"/>
          <w:szCs w:val="17"/>
        </w:rPr>
        <w:t xml:space="preserve">Westinghouse Earnings Upside Beyond Dividends: </w:t>
      </w:r>
      <w:r>
        <w:rPr>
          <w:rFonts w:ascii="Calibri" w:cs="Calibri" w:eastAsia="Calibri" w:hAnsi="Calibri"/>
          <w:sz w:val="17"/>
          <w:szCs w:val="17"/>
        </w:rPr>
        <w:t xml:space="preserve">Westinghouse's equity earnings are expected to grow significantly as the nuclear services market expands with new builds and life extensions. Our model captures only cash dividends received (currently ~$492M/yr CDN$). If Westinghouse accelerates its payout ratio or Cameco monetizes part of its 49% stake, intrinsic value would increase materially beyond our projection.</w:t>
      </w:r>
    </w:p>
    <w:p>
      <w:pPr>
        <w:pStyle w:val="ListParagraph"/>
        <w:numPr>
          <w:ilvl w:val="0"/>
          <w:numId w:val="1"/>
        </w:numPr>
        <w:spacing w:after="10" w:before="10"/>
        <w:ind w:left="360" w:hanging="187"/>
      </w:pPr>
      <w:r>
        <w:rPr>
          <w:rFonts w:ascii="Calibri" w:cs="Calibri" w:eastAsia="Calibri" w:hAnsi="Calibri"/>
          <w:b/>
          <w:bCs/>
          <w:sz w:val="17"/>
          <w:szCs w:val="17"/>
        </w:rPr>
        <w:t xml:space="preserve">Currency Risk (CAD/USD): </w:t>
      </w:r>
      <w:r>
        <w:rPr>
          <w:rFonts w:ascii="Calibri" w:cs="Calibri" w:eastAsia="Calibri" w:hAnsi="Calibri"/>
          <w:sz w:val="17"/>
          <w:szCs w:val="17"/>
        </w:rPr>
        <w:t xml:space="preserve">Cameco operates in Canada, generating revenues in USD while expenses are in CDN$. A weakening CDN$ (CAD/USD depreciation) is structurally accretive to earnings. Conversely, CAD appreciation would compress margins — this is a two-sided risk not explicitly modeled in our projections.</w:t>
      </w:r>
    </w:p>
    <w:p>
      <w:pPr>
        <w:pStyle w:val="ListParagraph"/>
        <w:numPr>
          <w:ilvl w:val="0"/>
          <w:numId w:val="1"/>
        </w:numPr>
        <w:spacing w:after="10" w:before="10"/>
        <w:ind w:left="360" w:hanging="187"/>
      </w:pPr>
      <w:r>
        <w:rPr>
          <w:rFonts w:ascii="Calibri" w:cs="Calibri" w:eastAsia="Calibri" w:hAnsi="Calibri"/>
          <w:b/>
          <w:bCs/>
          <w:sz w:val="17"/>
          <w:szCs w:val="17"/>
        </w:rPr>
        <w:t xml:space="preserve">Geopolitical &amp; Policy Risk: </w:t>
      </w:r>
      <w:r>
        <w:rPr>
          <w:rFonts w:ascii="Calibri" w:cs="Calibri" w:eastAsia="Calibri" w:hAnsi="Calibri"/>
          <w:sz w:val="17"/>
          <w:szCs w:val="17"/>
        </w:rPr>
        <w:t xml:space="preserve">The US government has historically relied on Canadian uranium and Russian enrichment services. Any deterioration in US–Canada trade relations (tariffs, Buy America policies) or a US push to develop domestic uranium supply chains from scratch could displace Cameco from key contracts over a long horizon. This is a low-probability tail risk, but worth monitoring.</w:t>
      </w:r>
    </w:p>
    <w:p>
      <w:pPr>
        <w:shd w:fill="1F3864" w:color="1F3864" w:val="clear"/>
        <w:spacing w:after="40" w:before="80"/>
        <w:ind w:left="144" w:right="144"/>
      </w:pPr>
      <w:r>
        <w:rPr>
          <w:rFonts w:ascii="Calibri" w:cs="Calibri" w:eastAsia="Calibri" w:hAnsi="Calibri"/>
          <w:b/>
          <w:bCs/>
          <w:color w:val="FFFFFF"/>
          <w:sz w:val="20"/>
          <w:szCs w:val="20"/>
        </w:rPr>
        <w:t xml:space="preserve">8.  CONCLUSION</w:t>
      </w:r>
    </w:p>
    <w:p>
      <w:pPr>
        <w:spacing w:after="10" w:before="10"/>
        <w:ind w:left="144" w:right="144"/>
      </w:pPr>
      <w:r>
        <w:rPr>
          <w:rFonts w:ascii="Calibri" w:cs="Calibri" w:eastAsia="Calibri" w:hAnsi="Calibri"/>
          <w:color w:val="000000"/>
          <w:sz w:val="18"/>
          <w:szCs w:val="18"/>
        </w:rPr>
        <w:t xml:space="preserve">Our DCF establishes a fundamental value range of $50–$94 CDN per share across base and upside scenarios. The market's current price of ~$139 CDN implies a ~$45–$89 CDN strategic premium — compensation for asset irreplaceability, nuclear policy tailwinds, long-term contracting optionality, and the AI energy demand supercycle. This premium is not irrational, but it does mean the stock is pricing in a future that must materialize. The bull case for Cameco is not that the DCF is wrong — it is that DCF systematically undervalues companies sitting at the intersection of scarce physical assets and structural policy support.</w:t>
      </w:r>
    </w:p>
    <w:p>
      <w:pPr>
        <w:spacing w:after="10" w:before="10"/>
        <w:ind w:left="144" w:right="144"/>
      </w:pPr>
      <w:r>
        <w:rPr>
          <w:rFonts w:ascii="Calibri" w:cs="Calibri" w:eastAsia="Calibri" w:hAnsi="Calibri"/>
          <w:color w:val="000000"/>
          <w:sz w:val="18"/>
          <w:szCs w:val="18"/>
        </w:rPr>
        <w:t xml:space="preserve">This analysis is intended as an educational portfolio project demonstrating DCF modeling methodology. It is not investment advice.</w:t>
      </w:r>
    </w:p>
    <w:sectPr>
      <w:headerReference w:type="default" r:id="rId7"/>
      <w:footerReference w:type="default" r:id="rId8"/>
      <w:pgSz w:w="12240" w:h="15840" w:orient="portrait"/>
      <w:pgMar w:top="720" w:right="936" w:bottom="72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40"/>
      <w:jc w:val="center"/>
    </w:pPr>
    <w:r>
      <w:rPr>
        <w:rFonts w:ascii="Calibri" w:cs="Calibri" w:eastAsia="Calibri" w:hAnsi="Calibri"/>
        <w:color w:val="888888"/>
        <w:sz w:val="15"/>
        <w:szCs w:val="15"/>
      </w:rPr>
      <w:t xml:space="preserve">For informational purposes only. Not investment advice.  |  Nixon Soetedja  |  August 2026  |  Page </w:t>
    </w:r>
    <w:r>
      <w:rPr>
        <w:rFonts w:ascii="Calibri" w:cs="Calibri" w:eastAsia="Calibri" w:hAnsi="Calibri"/>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0"/>
      <w:jc w:val="right"/>
    </w:pPr>
    <w:r>
      <w:rPr>
        <w:rFonts w:ascii="Calibri" w:cs="Calibri" w:eastAsia="Calibri" w:hAnsi="Calibri"/>
        <w:color w:val="888888"/>
        <w:sz w:val="15"/>
        <w:szCs w:val="15"/>
      </w:rPr>
      <w:t xml:space="preserve">EQUITY RESEARCH  |  CAMECO CORPORATION (CCJ / CCO)  |  DCF VALUATION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2026-08-30T21:36:12.266Z</dcterms:created>
  <dcterms:modified xsi:type="dcterms:W3CDTF">2026-08-30T21:36:12.266Z</dcterms:modified>
</cp:coreProperties>
</file>

<file path=docProps/custom.xml><?xml version="1.0" encoding="utf-8"?>
<Properties xmlns="http://schemas.openxmlformats.org/officeDocument/2006/custom-properties" xmlns:vt="http://schemas.openxmlformats.org/officeDocument/2006/docPropsVTypes"/>
</file>