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7A8" w:rsidRDefault="00F967A8" w:rsidP="00F967A8">
      <w:pPr>
        <w:autoSpaceDE w:val="0"/>
        <w:autoSpaceDN w:val="0"/>
        <w:adjustRightInd w:val="0"/>
        <w:spacing w:after="0" w:line="240" w:lineRule="auto"/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t>Interactive visualization of high-</w:t>
      </w:r>
      <w:bookmarkStart w:id="0" w:name="_GoBack"/>
      <w:bookmarkEnd w:id="0"/>
      <w:r>
        <w:rPr>
          <w:rFonts w:ascii="LMRoman12-Bold" w:hAnsi="LMRoman12-Bold" w:cs="LMRoman12-Bold"/>
          <w:b/>
          <w:bCs/>
          <w:sz w:val="41"/>
          <w:szCs w:val="41"/>
        </w:rPr>
        <w:t>dimensional</w:t>
      </w:r>
    </w:p>
    <w:p w:rsidR="00F967A8" w:rsidRDefault="00F967A8" w:rsidP="00F967A8">
      <w:pPr>
        <w:autoSpaceDE w:val="0"/>
        <w:autoSpaceDN w:val="0"/>
        <w:adjustRightInd w:val="0"/>
        <w:spacing w:after="0" w:line="240" w:lineRule="auto"/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t>data via continuous low-dimensional</w:t>
      </w:r>
    </w:p>
    <w:p w:rsidR="000C1109" w:rsidRDefault="00F967A8" w:rsidP="00F967A8">
      <w:pPr>
        <w:jc w:val="center"/>
        <w:rPr>
          <w:rFonts w:ascii="LMRoman12-Bold" w:hAnsi="LMRoman12-Bold" w:cs="LMRoman12-Bold"/>
          <w:b/>
          <w:bCs/>
          <w:sz w:val="41"/>
          <w:szCs w:val="41"/>
        </w:rPr>
      </w:pPr>
      <w:r>
        <w:rPr>
          <w:rFonts w:ascii="LMRoman12-Bold" w:hAnsi="LMRoman12-Bold" w:cs="LMRoman12-Bold"/>
          <w:b/>
          <w:bCs/>
          <w:sz w:val="41"/>
          <w:szCs w:val="41"/>
        </w:rPr>
        <w:t>projections</w:t>
      </w:r>
    </w:p>
    <w:p w:rsidR="00F967A8" w:rsidRDefault="00F967A8" w:rsidP="00F967A8">
      <w:pPr>
        <w:jc w:val="center"/>
      </w:pPr>
    </w:p>
    <w:p w:rsidR="00F967A8" w:rsidRDefault="00F967A8" w:rsidP="00F967A8">
      <w:pPr>
        <w:jc w:val="center"/>
      </w:pPr>
      <w:r>
        <w:t>Nicholas Spyrison</w:t>
      </w:r>
    </w:p>
    <w:p w:rsidR="00F967A8" w:rsidRDefault="00F967A8" w:rsidP="00F967A8">
      <w:pPr>
        <w:jc w:val="center"/>
      </w:pPr>
      <w:r>
        <w:t>Monash University,</w:t>
      </w:r>
    </w:p>
    <w:p w:rsidR="00F967A8" w:rsidRDefault="00F967A8" w:rsidP="00F967A8">
      <w:pPr>
        <w:jc w:val="center"/>
      </w:pPr>
      <w:r>
        <w:t>Faculty of Information and Technology</w:t>
      </w:r>
    </w:p>
    <w:p w:rsidR="00F967A8" w:rsidRDefault="00F967A8" w:rsidP="00F967A8">
      <w:pPr>
        <w:jc w:val="center"/>
      </w:pPr>
    </w:p>
    <w:p w:rsidR="00F967A8" w:rsidRDefault="00F967A8" w:rsidP="00F967A8">
      <w:r>
        <w:t>Abstract:</w:t>
      </w:r>
    </w:p>
    <w:p w:rsidR="003048F0" w:rsidRDefault="00F967A8" w:rsidP="00F967A8">
      <w:r>
        <w:t>Exploratory data analysis is the first step to exploring data and validating model assumptions. Visualizations of data</w:t>
      </w:r>
      <w:r w:rsidR="003048F0">
        <w:t>-s</w:t>
      </w:r>
      <w:r>
        <w:t xml:space="preserve">paces convey a better representation than numeric statistics alone. Yet, </w:t>
      </w:r>
      <w:r w:rsidR="003048F0">
        <w:t>display of more than 3 attribute dimensions (p &gt; 3) is non-trivial.</w:t>
      </w:r>
    </w:p>
    <w:p w:rsidR="003048F0" w:rsidRDefault="003048F0" w:rsidP="00F967A8"/>
    <w:p w:rsidR="003048F0" w:rsidRPr="003048F0" w:rsidRDefault="003048F0" w:rsidP="003048F0">
      <w:r>
        <w:t xml:space="preserve">Traditionally, methods suggested looking at several </w:t>
      </w:r>
      <w:r w:rsidRPr="003048F0">
        <w:rPr>
          <w:i/>
        </w:rPr>
        <w:t>discrete</w:t>
      </w:r>
      <w:r>
        <w:t xml:space="preserve"> linear projection bases highlighting a feature. A visualization ‘tour’ shows an animation of </w:t>
      </w:r>
      <w:r w:rsidRPr="003048F0">
        <w:rPr>
          <w:i/>
        </w:rPr>
        <w:t>continuous</w:t>
      </w:r>
      <w:r>
        <w:t xml:space="preserve"> change in many near-by projection </w:t>
      </w:r>
      <w:r w:rsidRPr="003048F0">
        <w:t>bases that better allow for tracking and understanding of structure continuity.</w:t>
      </w:r>
    </w:p>
    <w:p w:rsidR="003048F0" w:rsidRPr="003048F0" w:rsidRDefault="003048F0" w:rsidP="003048F0"/>
    <w:p w:rsidR="003048F0" w:rsidRDefault="003048F0" w:rsidP="003048F0">
      <w:r w:rsidRPr="003048F0">
        <w:t xml:space="preserve">This PhD research project </w:t>
      </w:r>
      <w:r>
        <w:t>focuses on one type of tour, known as a manual tour.</w:t>
      </w:r>
      <w:r w:rsidR="003141E3">
        <w:t xml:space="preserve"> A manual tour allows for the contribution of a selected variable’s contribution onto the projection. This uniquely allows the analyst to control the basis of a projection rather than a predefined path.</w:t>
      </w:r>
    </w:p>
    <w:p w:rsidR="003141E3" w:rsidRDefault="003141E3" w:rsidP="003048F0"/>
    <w:p w:rsidR="00C159BE" w:rsidRPr="00C159BE" w:rsidRDefault="003141E3" w:rsidP="003048F0">
      <w:pPr>
        <w:rPr>
          <w:i/>
        </w:rPr>
      </w:pPr>
      <w:r>
        <w:t xml:space="preserve">In the latest work we are in the midst of performing a with-in participant experimental study. Where every participant </w:t>
      </w:r>
      <w:r w:rsidR="00C159BE">
        <w:t>performs tasks</w:t>
      </w:r>
      <w:r>
        <w:t xml:space="preserve"> using 3 visual factors: principal component analysis, ‘grand’ tour, and manual tour.</w:t>
      </w:r>
      <w:r w:rsidR="00C159BE">
        <w:t xml:space="preserve"> We seek to answer the hypothesis; </w:t>
      </w:r>
      <w:r w:rsidR="00C159BE" w:rsidRPr="00C159BE">
        <w:rPr>
          <w:i/>
        </w:rPr>
        <w:t>Does the finer control afforded by the manual tour improve the ability of the analyst to understand the importance of variables contributing to the structure?</w:t>
      </w:r>
    </w:p>
    <w:sectPr w:rsidR="00C159BE" w:rsidRPr="00C1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8"/>
    <w:rsid w:val="000C1109"/>
    <w:rsid w:val="003048F0"/>
    <w:rsid w:val="003141E3"/>
    <w:rsid w:val="00C159BE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2F45"/>
  <w15:chartTrackingRefBased/>
  <w15:docId w15:val="{797B9907-F6BE-4874-9395-9555F71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3</cp:revision>
  <dcterms:created xsi:type="dcterms:W3CDTF">2020-02-10T00:41:00Z</dcterms:created>
  <dcterms:modified xsi:type="dcterms:W3CDTF">2020-02-10T03:39:00Z</dcterms:modified>
</cp:coreProperties>
</file>