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6846" w14:textId="1F9BB5D8" w:rsidR="009C5FD1" w:rsidRDefault="00C275BF" w:rsidP="00C275BF">
      <w:pPr>
        <w:pStyle w:val="Heading1"/>
        <w:jc w:val="center"/>
        <w:rPr>
          <w:rFonts w:ascii="Arial Black" w:hAnsi="Arial Black"/>
        </w:rPr>
      </w:pPr>
      <w:r w:rsidRPr="00C275BF">
        <w:rPr>
          <w:rFonts w:ascii="Arial Black" w:hAnsi="Arial Black"/>
        </w:rPr>
        <w:t>Slash Commands and its uses</w:t>
      </w:r>
    </w:p>
    <w:p w14:paraId="353C1E96" w14:textId="77777777" w:rsidR="00C275BF" w:rsidRDefault="00C275BF" w:rsidP="00C275BF"/>
    <w:tbl>
      <w:tblPr>
        <w:tblW w:w="10367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4217"/>
        <w:gridCol w:w="4067"/>
      </w:tblGrid>
      <w:tr w:rsidR="00C275BF" w:rsidRPr="00C275BF" w14:paraId="4475E04E" w14:textId="77777777" w:rsidTr="00C275BF">
        <w:trPr>
          <w:trHeight w:val="543"/>
          <w:tblCellSpacing w:w="15" w:type="dxa"/>
        </w:trPr>
        <w:tc>
          <w:tcPr>
            <w:tcW w:w="2038" w:type="dxa"/>
            <w:vAlign w:val="center"/>
            <w:hideMark/>
          </w:tcPr>
          <w:p w14:paraId="13432D36" w14:textId="0AA6553C" w:rsidR="00C275BF" w:rsidRPr="00C275BF" w:rsidRDefault="00C275BF" w:rsidP="00C275BF">
            <w:pPr>
              <w:jc w:val="center"/>
              <w:rPr>
                <w:rFonts w:ascii="Tahoma" w:hAnsi="Tahoma" w:cs="Tahoma"/>
                <w:b/>
                <w:bCs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Command</w:t>
            </w: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s</w:t>
            </w:r>
          </w:p>
        </w:tc>
        <w:tc>
          <w:tcPr>
            <w:tcW w:w="4187" w:type="dxa"/>
            <w:vAlign w:val="center"/>
            <w:hideMark/>
          </w:tcPr>
          <w:p w14:paraId="132A3840" w14:textId="3D58FDEA" w:rsidR="00C275BF" w:rsidRPr="00C275BF" w:rsidRDefault="00C275BF" w:rsidP="00C275BF">
            <w:pPr>
              <w:jc w:val="center"/>
              <w:rPr>
                <w:rFonts w:ascii="Algerian" w:hAnsi="Algerian"/>
                <w:b/>
                <w:bCs/>
                <w:color w:val="2F5496" w:themeColor="accent1" w:themeShade="BF"/>
                <w:sz w:val="24"/>
                <w:szCs w:val="24"/>
              </w:rPr>
            </w:pPr>
            <w:r w:rsidRPr="00C275BF">
              <w:rPr>
                <w:rFonts w:ascii="Algerian" w:hAnsi="Algerian"/>
                <w:b/>
                <w:bCs/>
                <w:color w:val="2F5496" w:themeColor="accent1" w:themeShade="BF"/>
                <w:sz w:val="24"/>
                <w:szCs w:val="24"/>
              </w:rPr>
              <w:t xml:space="preserve">Its </w:t>
            </w:r>
            <w:r w:rsidRPr="00C275BF">
              <w:rPr>
                <w:rFonts w:ascii="Algerian" w:hAnsi="Algerian"/>
                <w:b/>
                <w:bCs/>
                <w:color w:val="2F5496" w:themeColor="accent1" w:themeShade="BF"/>
                <w:sz w:val="24"/>
                <w:szCs w:val="24"/>
              </w:rPr>
              <w:t xml:space="preserve"> Function</w:t>
            </w:r>
          </w:p>
        </w:tc>
        <w:tc>
          <w:tcPr>
            <w:tcW w:w="4022" w:type="dxa"/>
            <w:vAlign w:val="center"/>
            <w:hideMark/>
          </w:tcPr>
          <w:p w14:paraId="55BCBB9A" w14:textId="1F670413" w:rsidR="00C275BF" w:rsidRPr="00C275BF" w:rsidRDefault="00C275BF" w:rsidP="00C275BF">
            <w:pPr>
              <w:jc w:val="center"/>
              <w:rPr>
                <w:rFonts w:ascii="Algerian" w:hAnsi="Algerian"/>
                <w:b/>
                <w:bCs/>
                <w:color w:val="2F5496" w:themeColor="accent1" w:themeShade="BF"/>
                <w:sz w:val="24"/>
                <w:szCs w:val="24"/>
              </w:rPr>
            </w:pPr>
            <w:r w:rsidRPr="00C275BF">
              <w:rPr>
                <w:rFonts w:ascii="Algerian" w:hAnsi="Algerian"/>
                <w:b/>
                <w:bCs/>
                <w:color w:val="2F5496" w:themeColor="accent1" w:themeShade="BF"/>
                <w:sz w:val="24"/>
                <w:szCs w:val="24"/>
              </w:rPr>
              <w:t>Uses</w:t>
            </w:r>
          </w:p>
        </w:tc>
      </w:tr>
      <w:tr w:rsidR="00C275BF" w:rsidRPr="00C275BF" w14:paraId="7D89F823" w14:textId="77777777" w:rsidTr="00C275BF">
        <w:trPr>
          <w:trHeight w:val="784"/>
          <w:tblCellSpacing w:w="15" w:type="dxa"/>
        </w:trPr>
        <w:tc>
          <w:tcPr>
            <w:tcW w:w="2038" w:type="dxa"/>
            <w:vAlign w:val="center"/>
            <w:hideMark/>
          </w:tcPr>
          <w:p w14:paraId="792AF69C" w14:textId="60D95A89" w:rsidR="00C275BF" w:rsidRPr="00C275BF" w:rsidRDefault="00C275BF" w:rsidP="00C275BF">
            <w:pPr>
              <w:jc w:val="center"/>
              <w:rPr>
                <w:rFonts w:ascii="Tahoma" w:hAnsi="Tahoma" w:cs="Tahoma"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/explain</w:t>
            </w:r>
          </w:p>
        </w:tc>
        <w:tc>
          <w:tcPr>
            <w:tcW w:w="4187" w:type="dxa"/>
            <w:vAlign w:val="center"/>
            <w:hideMark/>
          </w:tcPr>
          <w:p w14:paraId="0043BC8E" w14:textId="338D6913" w:rsidR="00C275BF" w:rsidRPr="00C275BF" w:rsidRDefault="00C275BF" w:rsidP="00C275BF">
            <w:r w:rsidRPr="00C275BF">
              <w:t>Analyzes and breaks down your activ</w:t>
            </w:r>
            <w:r>
              <w:t>ity</w:t>
            </w:r>
            <w:r w:rsidRPr="00C275BF">
              <w:t xml:space="preserve"> </w:t>
            </w:r>
            <w:r>
              <w:t>and</w:t>
            </w:r>
            <w:r w:rsidRPr="00C275BF">
              <w:t xml:space="preserve"> highlighted code.</w:t>
            </w:r>
          </w:p>
        </w:tc>
        <w:tc>
          <w:tcPr>
            <w:tcW w:w="4022" w:type="dxa"/>
            <w:vAlign w:val="center"/>
            <w:hideMark/>
          </w:tcPr>
          <w:p w14:paraId="41A54D0E" w14:textId="77777777" w:rsidR="00C275BF" w:rsidRPr="00C275BF" w:rsidRDefault="00C275BF" w:rsidP="00C275BF">
            <w:r w:rsidRPr="00C275BF">
              <w:t>Understanding legacy code or a complex regex block.</w:t>
            </w:r>
          </w:p>
        </w:tc>
      </w:tr>
      <w:tr w:rsidR="00C275BF" w:rsidRPr="00C275BF" w14:paraId="67E5F827" w14:textId="77777777" w:rsidTr="00C275BF">
        <w:trPr>
          <w:trHeight w:val="784"/>
          <w:tblCellSpacing w:w="15" w:type="dxa"/>
        </w:trPr>
        <w:tc>
          <w:tcPr>
            <w:tcW w:w="2038" w:type="dxa"/>
            <w:vAlign w:val="center"/>
            <w:hideMark/>
          </w:tcPr>
          <w:p w14:paraId="31014E14" w14:textId="0D73243F" w:rsidR="00C275BF" w:rsidRPr="00C275BF" w:rsidRDefault="00C275BF" w:rsidP="00C275BF">
            <w:pPr>
              <w:jc w:val="center"/>
              <w:rPr>
                <w:rFonts w:ascii="Tahoma" w:hAnsi="Tahoma" w:cs="Tahoma"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/fix</w:t>
            </w:r>
          </w:p>
        </w:tc>
        <w:tc>
          <w:tcPr>
            <w:tcW w:w="4187" w:type="dxa"/>
            <w:vAlign w:val="center"/>
            <w:hideMark/>
          </w:tcPr>
          <w:p w14:paraId="1A1D1662" w14:textId="5304C2B0" w:rsidR="00C275BF" w:rsidRPr="00C275BF" w:rsidRDefault="00C275BF" w:rsidP="00C275BF">
            <w:r w:rsidRPr="00C275BF">
              <w:t>Proposes fixes for syntax errors, typos, or bugs.</w:t>
            </w:r>
          </w:p>
        </w:tc>
        <w:tc>
          <w:tcPr>
            <w:tcW w:w="4022" w:type="dxa"/>
            <w:vAlign w:val="center"/>
            <w:hideMark/>
          </w:tcPr>
          <w:p w14:paraId="68F05B28" w14:textId="77777777" w:rsidR="00C275BF" w:rsidRPr="00C275BF" w:rsidRDefault="00C275BF" w:rsidP="00C275BF">
            <w:r w:rsidRPr="00C275BF">
              <w:t>Resolving compiler issues or missing dependencies.</w:t>
            </w:r>
          </w:p>
        </w:tc>
      </w:tr>
      <w:tr w:rsidR="00C275BF" w:rsidRPr="00C275BF" w14:paraId="433CBEC8" w14:textId="77777777" w:rsidTr="00C275BF">
        <w:trPr>
          <w:trHeight w:val="784"/>
          <w:tblCellSpacing w:w="15" w:type="dxa"/>
        </w:trPr>
        <w:tc>
          <w:tcPr>
            <w:tcW w:w="2038" w:type="dxa"/>
            <w:vAlign w:val="center"/>
            <w:hideMark/>
          </w:tcPr>
          <w:p w14:paraId="7C6DDC36" w14:textId="15423CA3" w:rsidR="00C275BF" w:rsidRPr="00C275BF" w:rsidRDefault="00C275BF" w:rsidP="00C275BF">
            <w:pPr>
              <w:jc w:val="center"/>
              <w:rPr>
                <w:rFonts w:ascii="Tahoma" w:hAnsi="Tahoma" w:cs="Tahoma"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/tests</w:t>
            </w:r>
          </w:p>
        </w:tc>
        <w:tc>
          <w:tcPr>
            <w:tcW w:w="4187" w:type="dxa"/>
            <w:vAlign w:val="center"/>
            <w:hideMark/>
          </w:tcPr>
          <w:p w14:paraId="1DA600FA" w14:textId="77777777" w:rsidR="00C275BF" w:rsidRPr="00C275BF" w:rsidRDefault="00C275BF" w:rsidP="00C275BF">
            <w:r w:rsidRPr="00C275BF">
              <w:t>Automatically drafts comprehensive unit test cases.</w:t>
            </w:r>
          </w:p>
        </w:tc>
        <w:tc>
          <w:tcPr>
            <w:tcW w:w="4022" w:type="dxa"/>
            <w:vAlign w:val="center"/>
            <w:hideMark/>
          </w:tcPr>
          <w:p w14:paraId="048025F4" w14:textId="77777777" w:rsidR="00C275BF" w:rsidRPr="00C275BF" w:rsidRDefault="00C275BF" w:rsidP="00C275BF">
            <w:r w:rsidRPr="00C275BF">
              <w:t>Generating mocha, Jest, or PyTest structures for a function.</w:t>
            </w:r>
          </w:p>
        </w:tc>
      </w:tr>
      <w:tr w:rsidR="00C275BF" w:rsidRPr="00C275BF" w14:paraId="4B8FC4CA" w14:textId="77777777" w:rsidTr="00C275BF">
        <w:trPr>
          <w:trHeight w:val="796"/>
          <w:tblCellSpacing w:w="15" w:type="dxa"/>
        </w:trPr>
        <w:tc>
          <w:tcPr>
            <w:tcW w:w="2038" w:type="dxa"/>
            <w:vAlign w:val="center"/>
            <w:hideMark/>
          </w:tcPr>
          <w:p w14:paraId="0C6FE0E4" w14:textId="291CF216" w:rsidR="00C275BF" w:rsidRPr="00C275BF" w:rsidRDefault="00C275BF" w:rsidP="00C275BF">
            <w:pPr>
              <w:jc w:val="center"/>
              <w:rPr>
                <w:rFonts w:ascii="Tahoma" w:hAnsi="Tahoma" w:cs="Tahoma"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/doc</w:t>
            </w:r>
          </w:p>
        </w:tc>
        <w:tc>
          <w:tcPr>
            <w:tcW w:w="4187" w:type="dxa"/>
            <w:vAlign w:val="center"/>
            <w:hideMark/>
          </w:tcPr>
          <w:p w14:paraId="3B134353" w14:textId="77777777" w:rsidR="00C275BF" w:rsidRPr="00C275BF" w:rsidRDefault="00C275BF" w:rsidP="00C275BF">
            <w:r w:rsidRPr="00C275BF">
              <w:t>Generates documentation blocks or inline summaries.</w:t>
            </w:r>
          </w:p>
        </w:tc>
        <w:tc>
          <w:tcPr>
            <w:tcW w:w="4022" w:type="dxa"/>
            <w:vAlign w:val="center"/>
            <w:hideMark/>
          </w:tcPr>
          <w:p w14:paraId="6D0A9F57" w14:textId="77777777" w:rsidR="00C275BF" w:rsidRPr="00C275BF" w:rsidRDefault="00C275BF" w:rsidP="00C275BF">
            <w:r w:rsidRPr="00C275BF">
              <w:t>Writing JSDoc, Docstrings, or standardized header comments.</w:t>
            </w:r>
          </w:p>
        </w:tc>
      </w:tr>
      <w:tr w:rsidR="00C275BF" w:rsidRPr="00C275BF" w14:paraId="5047C836" w14:textId="77777777" w:rsidTr="00C275BF">
        <w:trPr>
          <w:trHeight w:val="784"/>
          <w:tblCellSpacing w:w="15" w:type="dxa"/>
        </w:trPr>
        <w:tc>
          <w:tcPr>
            <w:tcW w:w="2038" w:type="dxa"/>
            <w:vAlign w:val="center"/>
            <w:hideMark/>
          </w:tcPr>
          <w:p w14:paraId="657D60B5" w14:textId="77777777" w:rsidR="00C275BF" w:rsidRPr="00C275BF" w:rsidRDefault="00C275BF" w:rsidP="00C275BF">
            <w:pPr>
              <w:jc w:val="center"/>
              <w:rPr>
                <w:rFonts w:ascii="Tahoma" w:hAnsi="Tahoma" w:cs="Tahoma"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/optimize</w:t>
            </w:r>
          </w:p>
        </w:tc>
        <w:tc>
          <w:tcPr>
            <w:tcW w:w="4187" w:type="dxa"/>
            <w:vAlign w:val="center"/>
            <w:hideMark/>
          </w:tcPr>
          <w:p w14:paraId="15F3EC1A" w14:textId="77777777" w:rsidR="00C275BF" w:rsidRPr="00C275BF" w:rsidRDefault="00C275BF" w:rsidP="00C275BF">
            <w:r w:rsidRPr="00C275BF">
              <w:t>Analyzes your implementation and checks for performance problems.</w:t>
            </w:r>
          </w:p>
        </w:tc>
        <w:tc>
          <w:tcPr>
            <w:tcW w:w="4022" w:type="dxa"/>
            <w:vAlign w:val="center"/>
            <w:hideMark/>
          </w:tcPr>
          <w:p w14:paraId="49B56DF2" w14:textId="77777777" w:rsidR="00C275BF" w:rsidRPr="00C275BF" w:rsidRDefault="00C275BF" w:rsidP="00C275BF">
            <w:r w:rsidRPr="00C275BF">
              <w:t>Refactoring nested loops or cleaning up runtime memory overhead.</w:t>
            </w:r>
          </w:p>
        </w:tc>
      </w:tr>
      <w:tr w:rsidR="00C275BF" w:rsidRPr="00C275BF" w14:paraId="5E71EDFB" w14:textId="77777777" w:rsidTr="00C275BF">
        <w:trPr>
          <w:trHeight w:val="784"/>
          <w:tblCellSpacing w:w="15" w:type="dxa"/>
        </w:trPr>
        <w:tc>
          <w:tcPr>
            <w:tcW w:w="2038" w:type="dxa"/>
            <w:vAlign w:val="center"/>
            <w:hideMark/>
          </w:tcPr>
          <w:p w14:paraId="6CD89DA6" w14:textId="77777777" w:rsidR="00C275BF" w:rsidRPr="00C275BF" w:rsidRDefault="00C275BF" w:rsidP="00C275BF">
            <w:pPr>
              <w:jc w:val="center"/>
              <w:rPr>
                <w:rFonts w:ascii="Tahoma" w:hAnsi="Tahoma" w:cs="Tahoma"/>
                <w:color w:val="2F5496" w:themeColor="accent1" w:themeShade="BF"/>
              </w:rPr>
            </w:pPr>
            <w:r w:rsidRPr="00C275BF">
              <w:rPr>
                <w:rFonts w:ascii="Tahoma" w:hAnsi="Tahoma" w:cs="Tahoma"/>
                <w:b/>
                <w:bCs/>
                <w:color w:val="2F5496" w:themeColor="accent1" w:themeShade="BF"/>
              </w:rPr>
              <w:t>/help</w:t>
            </w:r>
          </w:p>
        </w:tc>
        <w:tc>
          <w:tcPr>
            <w:tcW w:w="4187" w:type="dxa"/>
            <w:vAlign w:val="center"/>
            <w:hideMark/>
          </w:tcPr>
          <w:p w14:paraId="4D24E7EF" w14:textId="77777777" w:rsidR="00C275BF" w:rsidRPr="00C275BF" w:rsidRDefault="00C275BF" w:rsidP="00C275BF">
            <w:r w:rsidRPr="00C275BF">
              <w:t>Explains how to interact with the current Copilot agent configuration.</w:t>
            </w:r>
          </w:p>
        </w:tc>
        <w:tc>
          <w:tcPr>
            <w:tcW w:w="4022" w:type="dxa"/>
            <w:vAlign w:val="center"/>
            <w:hideMark/>
          </w:tcPr>
          <w:p w14:paraId="1BE294C4" w14:textId="77777777" w:rsidR="00C275BF" w:rsidRPr="00C275BF" w:rsidRDefault="00C275BF" w:rsidP="00C275BF">
            <w:r w:rsidRPr="00C275BF">
              <w:t>Checking available features or syntax formatting options.</w:t>
            </w:r>
          </w:p>
        </w:tc>
      </w:tr>
    </w:tbl>
    <w:p w14:paraId="438A5A07" w14:textId="77777777" w:rsidR="00C275BF" w:rsidRPr="00C275BF" w:rsidRDefault="00C275BF" w:rsidP="00C275BF"/>
    <w:sectPr w:rsidR="00C275BF" w:rsidRPr="00C27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397"/>
    <w:rsid w:val="00017397"/>
    <w:rsid w:val="003865D4"/>
    <w:rsid w:val="009C5FD1"/>
    <w:rsid w:val="00AA75EB"/>
    <w:rsid w:val="00BC3365"/>
    <w:rsid w:val="00C2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0102"/>
  <w15:chartTrackingRefBased/>
  <w15:docId w15:val="{DB3A03F8-ADC4-4E75-A59D-24F01278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2026-07-11T21:10:00Z</dcterms:created>
  <dcterms:modified xsi:type="dcterms:W3CDTF">2026-07-11T21:18:00Z</dcterms:modified>
</cp:coreProperties>
</file>