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6768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20" w:type="dxa"/>
              <w:left w:w="0" w:type="dxa"/>
              <w:right w:w="20" w:type="dxa"/>
            </w:tcMar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0F172A"/>
                <w:sz w:val="35"/>
              </w:rPr>
              <w:t>Md Niaj Shahriar Shishir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2563EB"/>
                <w:sz w:val="19"/>
              </w:rPr>
              <w:t>Senior Project Manager &amp; Technology Lead</w:t>
            </w:r>
          </w:p>
          <w:p>
            <w:pPr>
              <w:spacing w:after="0" w:before="0"/>
            </w:pPr>
            <w:r>
              <w:rPr>
                <w:rFonts w:ascii="Calibri" w:hAnsi="Calibri"/>
                <w:color w:val="475569"/>
                <w:sz w:val="16"/>
              </w:rPr>
              <w:t>Certified Odoo Consultant | Software Delivery, Architecture &amp; Team Leadership | 9+ Years Experience</w:t>
            </w:r>
          </w:p>
        </w:tc>
        <w:tc>
          <w:tcPr>
            <w:tcW w:type="dxa" w:w="3701"/>
            <w:tcBorders>
              <w:top w:val="none"/>
              <w:left w:val="none"/>
              <w:bottom w:val="none"/>
              <w:right w:val="none"/>
            </w:tcBorders>
            <w:tcMar>
              <w:top w:w="10" w:type="dxa"/>
              <w:bottom w:w="20" w:type="dxa"/>
              <w:left w:w="20" w:type="dxa"/>
              <w:right w:w="0" w:type="dxa"/>
            </w:tcMar>
          </w:tcPr>
          <w:p>
            <w:pPr>
              <w:spacing w:after="10" w:before="0"/>
              <w:jc w:val="right"/>
            </w:pPr>
            <w:r>
              <w:rPr>
                <w:rFonts w:ascii="Calibri" w:hAnsi="Calibri"/>
                <w:b/>
                <w:color w:val="64748B"/>
                <w:sz w:val="15"/>
              </w:rPr>
              <w:t xml:space="preserve">Portfolio: </w:t>
            </w:r>
            <w:r>
              <w:rPr>
                <w:rFonts w:ascii="Calibri" w:hAnsi="Calibri"/>
                <w:b/>
                <w:color w:val="2563EB"/>
                <w:sz w:val="15"/>
              </w:rPr>
              <w:t>nsrshishir.github.io/nsrshishir</w:t>
            </w:r>
          </w:p>
          <w:p>
            <w:pPr>
              <w:spacing w:after="10" w:before="0"/>
              <w:jc w:val="right"/>
            </w:pPr>
            <w:r>
              <w:rPr>
                <w:rFonts w:ascii="Calibri" w:hAnsi="Calibri"/>
                <w:b/>
                <w:color w:val="64748B"/>
                <w:sz w:val="15"/>
              </w:rPr>
              <w:t xml:space="preserve">Email: </w:t>
            </w:r>
            <w:r>
              <w:rPr>
                <w:rFonts w:ascii="Calibri" w:hAnsi="Calibri"/>
                <w:color w:val="1E293B"/>
                <w:sz w:val="15"/>
              </w:rPr>
              <w:t>niaj@metamorphosis.com.bd</w:t>
            </w:r>
          </w:p>
          <w:p>
            <w:pPr>
              <w:spacing w:after="10" w:before="0"/>
              <w:jc w:val="right"/>
            </w:pPr>
            <w:r>
              <w:rPr>
                <w:rFonts w:ascii="Calibri" w:hAnsi="Calibri"/>
                <w:b/>
                <w:color w:val="64748B"/>
                <w:sz w:val="15"/>
              </w:rPr>
              <w:t xml:space="preserve">Alt Email: </w:t>
            </w:r>
            <w:r>
              <w:rPr>
                <w:rFonts w:ascii="Calibri" w:hAnsi="Calibri"/>
                <w:color w:val="1E293B"/>
                <w:sz w:val="15"/>
              </w:rPr>
              <w:t>nsrshishir550@gmail.com</w:t>
            </w:r>
          </w:p>
          <w:p>
            <w:pPr>
              <w:spacing w:after="10" w:before="0"/>
              <w:jc w:val="right"/>
            </w:pPr>
            <w:r>
              <w:rPr>
                <w:rFonts w:ascii="Calibri" w:hAnsi="Calibri"/>
                <w:b/>
                <w:color w:val="64748B"/>
                <w:sz w:val="15"/>
              </w:rPr>
              <w:t xml:space="preserve">Phone: </w:t>
            </w:r>
            <w:r>
              <w:rPr>
                <w:rFonts w:ascii="Calibri" w:hAnsi="Calibri"/>
                <w:color w:val="1E293B"/>
                <w:sz w:val="15"/>
              </w:rPr>
              <w:t>+880 1827-512928 | Dhaka, BD</w:t>
            </w:r>
          </w:p>
          <w:p>
            <w:pPr>
              <w:spacing w:after="10" w:before="0"/>
              <w:jc w:val="right"/>
            </w:pPr>
            <w:r>
              <w:rPr>
                <w:rFonts w:ascii="Calibri" w:hAnsi="Calibri"/>
                <w:b/>
                <w:color w:val="64748B"/>
                <w:sz w:val="15"/>
              </w:rPr>
              <w:t xml:space="preserve">LinkedIn: </w:t>
            </w:r>
            <w:r>
              <w:rPr>
                <w:rFonts w:ascii="Calibri" w:hAnsi="Calibri"/>
                <w:color w:val="1E293B"/>
                <w:sz w:val="15"/>
              </w:rPr>
              <w:t>linkedin.com/in/nsrshishir</w:t>
            </w:r>
          </w:p>
          <w:p>
            <w:pPr>
              <w:spacing w:after="10" w:before="0"/>
              <w:jc w:val="right"/>
            </w:pPr>
            <w:r>
              <w:rPr>
                <w:rFonts w:ascii="Calibri" w:hAnsi="Calibri"/>
                <w:b/>
                <w:color w:val="64748B"/>
                <w:sz w:val="15"/>
              </w:rPr>
              <w:t xml:space="preserve">GitHub: </w:t>
            </w:r>
            <w:r>
              <w:rPr>
                <w:rFonts w:ascii="Calibri" w:hAnsi="Calibri"/>
                <w:color w:val="1E293B"/>
                <w:sz w:val="15"/>
              </w:rPr>
              <w:t>github.com/nsrshishir</w:t>
            </w:r>
          </w:p>
        </w:tc>
      </w:tr>
    </w:tbl>
    <w:p>
      <w:pPr>
        <w:spacing w:before="40" w:after="80"/>
        <w:pBdr>
          <w:bottom w:val="single" w:sz="10" w:space="1" w:color="2563E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606"/>
            <w:shd w:fill="F1F5F9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25" w:type="dxa"/>
              <w:right w:w="25" w:type="dxa"/>
            </w:tcMar>
          </w:tcPr>
          <w:p>
            <w:pPr>
              <w:spacing w:before="0" w:after="1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On-Time Delivery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2563EB"/>
                <w:sz w:val="12"/>
              </w:rPr>
              <w:t>3-MO. SCOPE IN 2-3 WEEKS (AGILE)</w:t>
            </w:r>
          </w:p>
        </w:tc>
        <w:tc>
          <w:tcPr>
            <w:tcW w:type="dxa" w:w="2606"/>
            <w:shd w:fill="F1F5F9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25" w:type="dxa"/>
              <w:right w:w="25" w:type="dxa"/>
            </w:tcMar>
          </w:tcPr>
          <w:p>
            <w:pPr>
              <w:spacing w:before="0" w:after="1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ERP &amp; Digital Transform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2563EB"/>
                <w:sz w:val="12"/>
              </w:rPr>
              <w:t>900+ MODULES &amp; 16+ UPGRADES</w:t>
            </w:r>
          </w:p>
        </w:tc>
        <w:tc>
          <w:tcPr>
            <w:tcW w:type="dxa" w:w="2606"/>
            <w:shd w:fill="F1F5F9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25" w:type="dxa"/>
              <w:right w:w="25" w:type="dxa"/>
            </w:tcMar>
          </w:tcPr>
          <w:p>
            <w:pPr>
              <w:spacing w:before="0" w:after="1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Complex Integrations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2563EB"/>
                <w:sz w:val="12"/>
              </w:rPr>
              <w:t>SAP, SFA, 7 GATEWAYS (1-MO. SPRINTS)</w:t>
            </w:r>
          </w:p>
        </w:tc>
        <w:tc>
          <w:tcPr>
            <w:tcW w:type="dxa" w:w="2606"/>
            <w:shd w:fill="F1F5F9"/>
            <w:tcBorders>
              <w:top w:val="none"/>
              <w:left w:val="none"/>
              <w:bottom w:val="none"/>
              <w:right w:val="none"/>
            </w:tcBorders>
            <w:tcMar>
              <w:top w:w="35" w:type="dxa"/>
              <w:bottom w:w="35" w:type="dxa"/>
              <w:left w:w="25" w:type="dxa"/>
              <w:right w:w="25" w:type="dxa"/>
            </w:tcMar>
          </w:tcPr>
          <w:p>
            <w:pPr>
              <w:spacing w:before="0" w:after="1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DevOps &amp; Infrastructure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2563EB"/>
                <w:sz w:val="12"/>
              </w:rPr>
              <w:t>300+ LIVE DEPLOYMENTS (CI/CD)</w:t>
            </w:r>
          </w:p>
        </w:tc>
      </w:tr>
    </w:tbl>
    <w:p>
      <w:pPr>
        <w:keepNext/>
        <w:spacing w:before="80" w:after="4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8"/>
        </w:rPr>
        <w:t>EXECUTIVE SUMMARY</w:t>
      </w:r>
    </w:p>
    <w:p>
      <w:pPr>
        <w:spacing w:before="20" w:after="50" w:line="266" w:lineRule="auto"/>
        <w:jc w:val="both"/>
      </w:pPr>
      <w:r>
        <w:rPr>
          <w:rFonts w:ascii="Calibri" w:hAnsi="Calibri"/>
          <w:color w:val="1E293B"/>
          <w:sz w:val="16"/>
        </w:rPr>
        <w:t>Results-driven Senior Project Manager and Technology Lead with 9+ years of professional experience directing software engineering teams, enterprise digital transformations, and full-lifecycle software delivery. Proven track record leading cross-functional teams of software engineers, Odoo developers, business analysts, QA, and DevOps specialists to deliver secure, scalable, and on-time technology solutions. Certified Odoo Consultant with deep expertise in ERP implementation lifecycles, business process modeling, system architecture, API/third-party platform integrations (SAP, mobile SFA, payment gateways), and cloud infrastructure. Established high-efficiency delivery governance compressing 3-month project scopes into 2–3 weeks with near-100% first-pass UAT acceptance via the Agentic E3 Framework. Adept at translating organizational business objectives into technical roadmaps, identifying and mitigating delivery risks, and managing stakeholder expectations across 85+ global and domestic enterprise projects.</w:t>
      </w:r>
    </w:p>
    <w:p>
      <w:pPr>
        <w:keepNext/>
        <w:spacing w:before="70" w:after="4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8"/>
        </w:rPr>
        <w:t>CORE TECHNICAL &amp; PROJECT LEADERSHIP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27"/>
            <w:tcBorders>
              <w:top w:val="none"/>
              <w:left w:val="none"/>
              <w:bottom w:val="none"/>
              <w:right w:val="none"/>
            </w:tcBorders>
            <w:tcMar>
              <w:top w:w="12" w:type="dxa"/>
              <w:bottom w:w="16" w:type="dxa"/>
              <w:left w:w="20" w:type="dxa"/>
              <w:right w:w="30" w:type="dxa"/>
            </w:tcMar>
          </w:tcPr>
          <w:p>
            <w:pPr>
              <w:spacing w:before="0" w:after="10" w:line="259" w:lineRule="auto"/>
            </w:pPr>
            <w:r>
              <w:rPr>
                <w:rFonts w:ascii="Calibri" w:hAnsi="Calibri"/>
                <w:b/>
                <w:color w:val="2563EB"/>
                <w:sz w:val="16"/>
              </w:rPr>
              <w:t xml:space="preserve">• Project &amp; Delivery Management: </w:t>
            </w:r>
            <w:r>
              <w:rPr>
                <w:rFonts w:ascii="Calibri" w:hAnsi="Calibri"/>
                <w:color w:val="1E293B"/>
                <w:sz w:val="16"/>
              </w:rPr>
              <w:t>Agile/Scrum, sprint planning, 6-milestone delivery governance, risk management &amp; mitigation, resource allocation, UAT sign-off, SDLC management, on-time delivery KPIs.</w:t>
            </w:r>
          </w:p>
        </w:tc>
        <w:tc>
          <w:tcPr>
            <w:tcW w:type="dxa" w:w="5227"/>
            <w:tcBorders>
              <w:top w:val="none"/>
              <w:left w:val="none"/>
              <w:bottom w:val="none"/>
              <w:right w:val="none"/>
            </w:tcBorders>
            <w:tcMar>
              <w:top w:w="12" w:type="dxa"/>
              <w:bottom w:w="16" w:type="dxa"/>
              <w:left w:w="20" w:type="dxa"/>
              <w:right w:w="30" w:type="dxa"/>
            </w:tcMar>
          </w:tcPr>
          <w:p>
            <w:pPr>
              <w:spacing w:before="0" w:after="10" w:line="259" w:lineRule="auto"/>
            </w:pPr>
            <w:r>
              <w:rPr>
                <w:rFonts w:ascii="Calibri" w:hAnsi="Calibri"/>
                <w:b/>
                <w:color w:val="2563EB"/>
                <w:sz w:val="16"/>
              </w:rPr>
              <w:t xml:space="preserve">• Software Architecture &amp; Code Quality: </w:t>
            </w:r>
            <w:r>
              <w:rPr>
                <w:rFonts w:ascii="Calibri" w:hAnsi="Calibri"/>
                <w:color w:val="1E293B"/>
                <w:sz w:val="16"/>
              </w:rPr>
              <w:t>System architecture, modular design patterns, code reviews, coding standards, database design (PostgreSQL/MySQL), API design (REST, JSON-RPC, XML-RPC, Webhooks).</w:t>
            </w:r>
          </w:p>
        </w:tc>
      </w:tr>
      <w:tr>
        <w:tc>
          <w:tcPr>
            <w:tcW w:type="dxa" w:w="5227"/>
            <w:tcBorders>
              <w:top w:val="none"/>
              <w:left w:val="none"/>
              <w:bottom w:val="none"/>
              <w:right w:val="none"/>
            </w:tcBorders>
            <w:tcMar>
              <w:top w:w="12" w:type="dxa"/>
              <w:bottom w:w="16" w:type="dxa"/>
              <w:left w:w="20" w:type="dxa"/>
              <w:right w:w="30" w:type="dxa"/>
            </w:tcMar>
          </w:tcPr>
          <w:p>
            <w:pPr>
              <w:spacing w:before="0" w:after="10" w:line="259" w:lineRule="auto"/>
            </w:pPr>
            <w:r>
              <w:rPr>
                <w:rFonts w:ascii="Calibri" w:hAnsi="Calibri"/>
                <w:b/>
                <w:color w:val="2563EB"/>
                <w:sz w:val="16"/>
              </w:rPr>
              <w:t xml:space="preserve">• ERP &amp; Odoo Technology Leadership: </w:t>
            </w:r>
            <w:r>
              <w:rPr>
                <w:rFonts w:ascii="Calibri" w:hAnsi="Calibri"/>
                <w:color w:val="1E293B"/>
                <w:sz w:val="16"/>
              </w:rPr>
              <w:t>End-to-end ERP implementation lifecycle, 900+ custom modules, Odoo Studio, configuration, multi-version database upgrades (v13 to v19) with historical data retention.</w:t>
            </w:r>
          </w:p>
        </w:tc>
        <w:tc>
          <w:tcPr>
            <w:tcW w:type="dxa" w:w="5227"/>
            <w:tcBorders>
              <w:top w:val="none"/>
              <w:left w:val="none"/>
              <w:bottom w:val="none"/>
              <w:right w:val="none"/>
            </w:tcBorders>
            <w:tcMar>
              <w:top w:w="12" w:type="dxa"/>
              <w:bottom w:w="16" w:type="dxa"/>
              <w:left w:w="20" w:type="dxa"/>
              <w:right w:w="30" w:type="dxa"/>
            </w:tcMar>
          </w:tcPr>
          <w:p>
            <w:pPr>
              <w:spacing w:before="0" w:after="10" w:line="259" w:lineRule="auto"/>
            </w:pPr>
            <w:r>
              <w:rPr>
                <w:rFonts w:ascii="Calibri" w:hAnsi="Calibri"/>
                <w:b/>
                <w:color w:val="2563EB"/>
                <w:sz w:val="16"/>
              </w:rPr>
              <w:t xml:space="preserve">• Enterprise System Integrations: </w:t>
            </w:r>
            <w:r>
              <w:rPr>
                <w:rFonts w:ascii="Calibri" w:hAnsi="Calibri"/>
                <w:color w:val="1E293B"/>
                <w:sz w:val="16"/>
              </w:rPr>
              <w:t>Bidirectional enterprise connectors (SAP ERP, third-party mobile SFA, WMS, legacy databases), international payment gateways (7 NZ/AUS gateways in 1 month), message queues.</w:t>
            </w:r>
          </w:p>
        </w:tc>
      </w:tr>
      <w:tr>
        <w:tc>
          <w:tcPr>
            <w:tcW w:type="dxa" w:w="5227"/>
            <w:tcBorders>
              <w:top w:val="none"/>
              <w:left w:val="none"/>
              <w:bottom w:val="none"/>
              <w:right w:val="none"/>
            </w:tcBorders>
            <w:tcMar>
              <w:top w:w="12" w:type="dxa"/>
              <w:bottom w:w="16" w:type="dxa"/>
              <w:left w:w="20" w:type="dxa"/>
              <w:right w:w="30" w:type="dxa"/>
            </w:tcMar>
          </w:tcPr>
          <w:p>
            <w:pPr>
              <w:spacing w:before="0" w:after="10" w:line="259" w:lineRule="auto"/>
            </w:pPr>
            <w:r>
              <w:rPr>
                <w:rFonts w:ascii="Calibri" w:hAnsi="Calibri"/>
                <w:b/>
                <w:color w:val="2563EB"/>
                <w:sz w:val="16"/>
              </w:rPr>
              <w:t xml:space="preserve">• Infrastructure, Security &amp; DevOps: </w:t>
            </w:r>
            <w:r>
              <w:rPr>
                <w:rFonts w:ascii="Calibri" w:hAnsi="Calibri"/>
                <w:color w:val="1E293B"/>
                <w:sz w:val="16"/>
              </w:rPr>
              <w:t>Docker containerization, CI/CD pipelines, Bash automation, Linux/Windows Server (AD/DNS/IIS), Nginx worker isolation, access control, disaster recovery, data protection.</w:t>
            </w:r>
          </w:p>
        </w:tc>
        <w:tc>
          <w:tcPr>
            <w:tcW w:type="dxa" w:w="5227"/>
            <w:tcBorders>
              <w:top w:val="none"/>
              <w:left w:val="none"/>
              <w:bottom w:val="none"/>
              <w:right w:val="none"/>
            </w:tcBorders>
            <w:tcMar>
              <w:top w:w="12" w:type="dxa"/>
              <w:bottom w:w="16" w:type="dxa"/>
              <w:left w:w="20" w:type="dxa"/>
              <w:right w:w="30" w:type="dxa"/>
            </w:tcMar>
          </w:tcPr>
          <w:p>
            <w:pPr>
              <w:spacing w:before="0" w:after="10" w:line="259" w:lineRule="auto"/>
            </w:pPr>
            <w:r>
              <w:rPr>
                <w:rFonts w:ascii="Calibri" w:hAnsi="Calibri"/>
                <w:b/>
                <w:color w:val="2563EB"/>
                <w:sz w:val="16"/>
              </w:rPr>
              <w:t xml:space="preserve">• Team Mentorship &amp; Governance: </w:t>
            </w:r>
            <w:r>
              <w:rPr>
                <w:rFonts w:ascii="Calibri" w:hAnsi="Calibri"/>
                <w:color w:val="1E293B"/>
                <w:sz w:val="16"/>
              </w:rPr>
              <w:t>Technical hiring &amp; evaluation, engineer mentorship, performance appraisals, technical documentation, version control (Git), release and change management.</w:t>
            </w:r>
          </w:p>
        </w:tc>
      </w:tr>
    </w:tbl>
    <w:p>
      <w:pPr>
        <w:keepNext/>
        <w:spacing w:before="70" w:after="4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8"/>
        </w:rPr>
        <w:t>KEY PROJECT DELIVERY &amp; TECHNICAL MILESTONES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Enterprise SAP Bidirectional Integration (Delivered in 1 Month): </w:t>
      </w:r>
      <w:r>
        <w:rPr>
          <w:rFonts w:ascii="Calibri" w:hAnsi="Calibri"/>
          <w:color w:val="1E293B"/>
          <w:sz w:val="16"/>
        </w:rPr>
        <w:t>Managed and led the technical delivery of an end-to-end integration between Odoo ERP and SAP enterprise software. Synchronized customer masters, sales orders, delivery fulfillments, and payments with automated error handling and logging within a 1-month milestone.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7 NZ &amp; AUS Payment Gateways (1-Month Delivery Sprint): </w:t>
      </w:r>
      <w:r>
        <w:rPr>
          <w:rFonts w:ascii="Calibri" w:hAnsi="Calibri"/>
          <w:color w:val="1E293B"/>
          <w:sz w:val="16"/>
        </w:rPr>
        <w:t>Directed the development, integration, and certification of 7 distinct New Zealand and Australian payment gateways and BNPL platforms within a single 1-month milestone. Automated invoice reconciliation, webhooks, and PCI-DSS compliance.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Hyper-Velocity Delivery Framework (3-Month Scope in 2–3 Weeks): </w:t>
      </w:r>
      <w:r>
        <w:rPr>
          <w:rFonts w:ascii="Calibri" w:hAnsi="Calibri"/>
          <w:color w:val="1E293B"/>
          <w:sz w:val="16"/>
        </w:rPr>
        <w:t>Established a structured project governance framework combining modular architecture, automated test suites, and local AI agent workflows, cutting project delivery cycles by 75% while maintaining near-zero defect escape rates.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Historical Data &amp; Schema Retention in ERP Migrations: </w:t>
      </w:r>
      <w:r>
        <w:rPr>
          <w:rFonts w:ascii="Calibri" w:hAnsi="Calibri"/>
          <w:color w:val="1E293B"/>
          <w:sz w:val="16"/>
        </w:rPr>
        <w:t>Led 16+ major multi-version database upgrades (Odoo 13 to 19). Developed an AST-based schema extraction strategy to retain all historical custom fields, financial ledger records, and audit reports while retiring legacy technical debt.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Third-Party Mobile SFA Integration for FMCG Manufacturing: </w:t>
      </w:r>
      <w:r>
        <w:rPr>
          <w:rFonts w:ascii="Calibri" w:hAnsi="Calibri"/>
          <w:color w:val="1E293B"/>
          <w:sz w:val="16"/>
        </w:rPr>
        <w:t>Led the integration of an external mobile Sales Force Automation system with Odoo Enterprise for a leading FMCG manufacturer. Managed real-time bulk order fetching, stock reservation, and automated delivery order creation.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Infrastructure Automation for 300+ Live Deployments: </w:t>
      </w:r>
      <w:r>
        <w:rPr>
          <w:rFonts w:ascii="Calibri" w:hAnsi="Calibri"/>
          <w:color w:val="1E293B"/>
          <w:sz w:val="16"/>
        </w:rPr>
        <w:t>Designed Docker and Bash deployment pipelines managing 300+ live database instances, reducing deployment onboarding time by 85% and ensuring high availability.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Multichannel E-Commerce &amp; Marketplace Platforms: </w:t>
      </w:r>
      <w:r>
        <w:rPr>
          <w:rFonts w:ascii="Calibri" w:hAnsi="Calibri"/>
          <w:color w:val="1E293B"/>
          <w:sz w:val="16"/>
        </w:rPr>
        <w:t>Managed real-time API sync connecting ERP with international e-commerce channels (Kogan, Tradevine). Automated catalog mapping, inventory sync, and order fulfillment webhooks.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Universal Odoo Database Model Context Protocol (MCP) Server: </w:t>
      </w:r>
      <w:r>
        <w:rPr>
          <w:rFonts w:ascii="Calibri" w:hAnsi="Calibri"/>
          <w:color w:val="1E293B"/>
          <w:sz w:val="16"/>
        </w:rPr>
        <w:t>Led development of an enterprise MCP server exposing database schemas and models to AI tools for automated schema inspection, task execution, and system modernization.</w:t>
      </w:r>
    </w:p>
    <w:p>
      <w:r>
        <w:br w:type="page"/>
      </w:r>
    </w:p>
    <w:p>
      <w:pPr>
        <w:keepNext/>
        <w:spacing w:before="0" w:after="4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8"/>
        </w:rPr>
        <w:t>PROFESSIONAL EXPERIENCE &amp; PROJECT LEADERSHIP HISTORY</w:t>
      </w:r>
    </w:p>
    <w:p>
      <w:pPr>
        <w:keepNext/>
        <w:spacing w:before="50" w:after="20"/>
      </w:pPr>
      <w:r>
        <w:rPr>
          <w:rFonts w:ascii="Arial" w:hAnsi="Arial"/>
          <w:b/>
          <w:color w:val="0F172A"/>
          <w:sz w:val="19"/>
        </w:rPr>
        <w:t>Head of Technology &amp; Technical Project Lead  |  Metamorphosis Ltd.</w:t>
      </w:r>
      <w:r>
        <w:rPr>
          <w:rFonts w:ascii="Calibri" w:hAnsi="Calibri"/>
          <w:b/>
          <w:color w:val="2563EB"/>
          <w:sz w:val="17"/>
        </w:rPr>
        <w:t xml:space="preserve">  [Feb 2026 – Present]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Technology Direction &amp; Delivery Management: </w:t>
      </w:r>
      <w:r>
        <w:rPr>
          <w:rFonts w:ascii="Calibri" w:hAnsi="Calibri"/>
          <w:color w:val="1E293B"/>
          <w:sz w:val="16"/>
        </w:rPr>
        <w:t>Directs software engineering teams, overseeing the design, development, testing, deployment, and maintenance of enterprise technology solutions for 85+ global and domestic clients.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Project Governance &amp; On-Time Delivery: </w:t>
      </w:r>
      <w:r>
        <w:rPr>
          <w:rFonts w:ascii="Calibri" w:hAnsi="Calibri"/>
          <w:color w:val="1E293B"/>
          <w:sz w:val="16"/>
        </w:rPr>
        <w:t>Translates business requirements into technical architectures and practical project plans. Monitors timelines, resource allocation, dependencies, and deliverables to ensure in-time project delivery.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Architecture &amp; Code Quality Assurance: </w:t>
      </w:r>
      <w:r>
        <w:rPr>
          <w:rFonts w:ascii="Calibri" w:hAnsi="Calibri"/>
          <w:color w:val="1E293B"/>
          <w:sz w:val="16"/>
        </w:rPr>
        <w:t>Conducts system architecture reviews, database designs, API specifications, and code reviews. Enforces coding standards, security guidelines, and the Agentic E3 Framework to minimize technical debt.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High-Impact Integration Delivery: </w:t>
      </w:r>
      <w:r>
        <w:rPr>
          <w:rFonts w:ascii="Calibri" w:hAnsi="Calibri"/>
          <w:color w:val="1E293B"/>
          <w:sz w:val="16"/>
        </w:rPr>
        <w:t>Managed delivery of critical integrations on aggressive timelines, including an end-to-end SAP ERP sync (orders, customers, deliveries, payments) in 1 month, and 7 NZ/AUS payment gateways in a 1-month milestone.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Team Mentorship &amp; Capability Building: </w:t>
      </w:r>
      <w:r>
        <w:rPr>
          <w:rFonts w:ascii="Calibri" w:hAnsi="Calibri"/>
          <w:color w:val="1E293B"/>
          <w:sz w:val="16"/>
        </w:rPr>
        <w:t>Mentors software engineers, functional consultants, and QA staff. Evaluates technical performance, leads knowledge-sharing sessions, and directs technical recruitment.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Infrastructure &amp; Worker Isolation: </w:t>
      </w:r>
      <w:r>
        <w:rPr>
          <w:rFonts w:ascii="Calibri" w:hAnsi="Calibri"/>
          <w:color w:val="1E293B"/>
          <w:sz w:val="16"/>
        </w:rPr>
        <w:t>Configured Nginx reverse proxy worker isolation to separate heavy external API sync and e-commerce traffic from internal administrative back-office Odoo workers, eliminating system downtime.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18"/>
        </w:rPr>
        <w:t>Sr. Systems Engineer &amp; DevOps Lead  |  Metamorphosis Ltd.</w:t>
      </w:r>
      <w:r>
        <w:rPr>
          <w:rFonts w:ascii="Calibri" w:hAnsi="Calibri"/>
          <w:b/>
          <w:color w:val="2563EB"/>
          <w:sz w:val="17"/>
        </w:rPr>
        <w:t xml:space="preserve">  [Oct 2023 – Jan 2026]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Infrastructure Planning &amp; DevOps Automation: </w:t>
      </w:r>
      <w:r>
        <w:rPr>
          <w:rFonts w:ascii="Calibri" w:hAnsi="Calibri"/>
          <w:color w:val="1E293B"/>
          <w:sz w:val="16"/>
        </w:rPr>
        <w:t>Designed automated Docker and Bash deployment pipelines managing 300+ live instances, reducing client onboarding time by 85% and ensuring high system stability and reliability.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Marketplace &amp; Enterprise SFA Integrations: </w:t>
      </w:r>
      <w:r>
        <w:rPr>
          <w:rFonts w:ascii="Calibri" w:hAnsi="Calibri"/>
          <w:color w:val="1E293B"/>
          <w:sz w:val="16"/>
        </w:rPr>
        <w:t>Led real-time sync modules connecting ERP to international e-commerce channels (Kogan, Tradevine, BNPL) and mobile SFA backends. Built automated reconciliation scripts to prevent data drift.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Technical Standards &amp; Release Management: </w:t>
      </w:r>
      <w:r>
        <w:rPr>
          <w:rFonts w:ascii="Calibri" w:hAnsi="Calibri"/>
          <w:color w:val="1E293B"/>
          <w:sz w:val="16"/>
        </w:rPr>
        <w:t>Maintained version control (Git), release management, change management, and automated testing pipelines across production environments.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18"/>
        </w:rPr>
        <w:t>Full Stack Developer &amp; Module Lead  |  Metamorphosis Ltd.</w:t>
      </w:r>
      <w:r>
        <w:rPr>
          <w:rFonts w:ascii="Calibri" w:hAnsi="Calibri"/>
          <w:b/>
          <w:color w:val="2563EB"/>
          <w:sz w:val="17"/>
        </w:rPr>
        <w:t xml:space="preserve">  [2022 – Sep 2023]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Business Requirement Translation: </w:t>
      </w:r>
      <w:r>
        <w:rPr>
          <w:rFonts w:ascii="Calibri" w:hAnsi="Calibri"/>
          <w:color w:val="1E293B"/>
          <w:sz w:val="16"/>
        </w:rPr>
        <w:t>Hand-coded hundreds of custom Odoo modules matching client operational requirements, business process automations, dynamic reporting, and portal features.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Payment Gateways &amp; Database Optimization: </w:t>
      </w:r>
      <w:r>
        <w:rPr>
          <w:rFonts w:ascii="Calibri" w:hAnsi="Calibri"/>
          <w:color w:val="1E293B"/>
          <w:sz w:val="16"/>
        </w:rPr>
        <w:t>Built secure payment gateway integrations (cards, mobile banking) and optimized complex multi-table PostgreSQL queries and indexing for high-volume transactions.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18"/>
        </w:rPr>
        <w:t>Software Engineer &amp; Systems Specialist  |  MetaKave</w:t>
      </w:r>
      <w:r>
        <w:rPr>
          <w:rFonts w:ascii="Calibri" w:hAnsi="Calibri"/>
          <w:b/>
          <w:color w:val="2563EB"/>
          <w:sz w:val="17"/>
        </w:rPr>
        <w:t xml:space="preserve">  [2020 – 2021]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Application Development &amp; Mobile APIs: </w:t>
      </w:r>
      <w:r>
        <w:rPr>
          <w:rFonts w:ascii="Calibri" w:hAnsi="Calibri"/>
          <w:color w:val="1E293B"/>
          <w:sz w:val="16"/>
        </w:rPr>
        <w:t>Engineered backend web services and REST endpoints for Magento 2+ e-commerce platforms connected to mobile apps. Managed cloud server environments and Nginx SSL reverse proxies.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18"/>
        </w:rPr>
        <w:t>IT Executive  |  Aptech Industries</w:t>
      </w:r>
      <w:r>
        <w:rPr>
          <w:rFonts w:ascii="Calibri" w:hAnsi="Calibri"/>
          <w:b/>
          <w:color w:val="2563EB"/>
          <w:sz w:val="17"/>
        </w:rPr>
        <w:t xml:space="preserve">  [Jun 2017 – Sep 2019]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Enterprise IT &amp; Server Administration: </w:t>
      </w:r>
      <w:r>
        <w:rPr>
          <w:rFonts w:ascii="Calibri" w:hAnsi="Calibri"/>
          <w:color w:val="1E293B"/>
          <w:sz w:val="16"/>
        </w:rPr>
        <w:t>Managed enterprise IT operations, Windows Server administration (Active Directory, DNS, IIS, Group Policy up to 2019), network security, disaster recovery, and infrastructure deployments.</w:t>
      </w:r>
    </w:p>
    <w:p>
      <w:pPr>
        <w:keepNext/>
        <w:spacing w:before="80" w:after="4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8"/>
        </w:rPr>
        <w:t>EDUCATION, CERTIFICATIONS &amp; RESEARCH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Certified Odoo Consultant: </w:t>
      </w:r>
      <w:r>
        <w:rPr>
          <w:rFonts w:ascii="Calibri" w:hAnsi="Calibri"/>
          <w:color w:val="1E293B"/>
          <w:sz w:val="16"/>
        </w:rPr>
        <w:t>Metamorphosis Ltd. (Official Odoo Silver Partner). Extensive expertise in Odoo standard architecture, ORM, Studio, configuration, and ERP implementation lifecycles.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Master of Information Technology (MIT): </w:t>
      </w:r>
      <w:r>
        <w:rPr>
          <w:rFonts w:ascii="Calibri" w:hAnsi="Calibri"/>
          <w:color w:val="1E293B"/>
          <w:sz w:val="16"/>
        </w:rPr>
        <w:t>Jahangirnagar University (2018 – 2019). Focus on Enterprise Software Systems, Advanced Database Management, and Distributed Computing.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Bachelor of Science (B.Sc): </w:t>
      </w:r>
      <w:r>
        <w:rPr>
          <w:rFonts w:ascii="Calibri" w:hAnsi="Calibri"/>
          <w:color w:val="1E293B"/>
          <w:sz w:val="16"/>
        </w:rPr>
        <w:t>Shahjalal University of Science and Technology (SUST). 1st Major in Mathematics, 2nd Major in Computer Science &amp; Engineering (CSE).</w:t>
      </w:r>
    </w:p>
    <w:p>
      <w:pPr>
        <w:pStyle w:val="ListBullet"/>
        <w:spacing w:before="0" w:after="20" w:line="262" w:lineRule="auto"/>
      </w:pPr>
      <w:r>
        <w:rPr>
          <w:rFonts w:ascii="Calibri" w:hAnsi="Calibri"/>
          <w:b/>
          <w:color w:val="1E293B"/>
          <w:sz w:val="16"/>
        </w:rPr>
        <w:t xml:space="preserve">IEEE Research Author (2021): </w:t>
      </w:r>
      <w:r>
        <w:rPr>
          <w:rFonts w:ascii="Calibri" w:hAnsi="Calibri"/>
          <w:color w:val="1E293B"/>
          <w:sz w:val="16"/>
        </w:rPr>
        <w:t>Published paper on data processing optimization in Hadoop MapReduce, introducing the IMC algorithm (65% efficiency gain). Applied distributed principles to enterprise database scale.</w:t>
      </w:r>
    </w:p>
    <w:p>
      <w:pPr>
        <w:spacing w:before="80" w:after="0"/>
        <w:jc w:val="center"/>
      </w:pPr>
      <w:r>
        <w:rPr>
          <w:rFonts w:ascii="Calibri" w:hAnsi="Calibri"/>
          <w:color w:val="64748B"/>
          <w:sz w:val="14"/>
        </w:rPr>
        <w:t>Md Niaj Shahriar Shishir  |  Senior Project Manager &amp; Technology Lead  |  Portfolio: nsrshishir.github.io/nsrshishir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