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/>
          <w:b/>
          <w:sz w:val="28"/>
        </w:rPr>
        <w:t>채무자 회생 및 파산에 관한 법률 시행 안내</w:t>
      </w:r>
    </w:p>
    <w:p>
      <w:pPr>
        <w:spacing w:line="384" w:lineRule="auto" w:before="120" w:after="120"/>
        <w:jc w:val="center"/>
      </w:pPr>
      <w:r>
        <w:rPr>
          <w:b/>
          <w:sz w:val="20"/>
        </w:rPr>
        <w:t>[시행 2026. 3. 1.] [법률 제20577호, 2024. 12. 20., 일부개정]</w:t>
      </w:r>
    </w:p>
    <w:p>
      <w:pPr>
        <w:spacing w:line="384" w:lineRule="auto" w:before="120" w:after="120"/>
        <w:jc w:val="right"/>
      </w:pPr>
      <w:r>
        <w:t>25. 01.</w:t>
      </w:r>
    </w:p>
    <w:p>
      <w:pPr>
        <w:spacing w:line="384" w:lineRule="auto" w:before="120" w:after="120"/>
        <w:jc w:val="right"/>
      </w:pPr>
      <w:r>
        <w:t>법 무 팀</w:t>
      </w:r>
    </w:p>
    <w:p/>
    <w:p>
      <w:pPr>
        <w:spacing w:line="384" w:lineRule="auto" w:before="120" w:after="120"/>
      </w:pPr>
      <w:r>
        <w:rPr>
          <w:b/>
          <w:sz w:val="22"/>
        </w:rPr>
        <w:t>1. 개정이유 및 주요내용</w:t>
      </w:r>
    </w:p>
    <w:p>
      <w:pPr>
        <w:spacing w:line="384" w:lineRule="auto" w:before="120" w:after="120"/>
        <w:ind w:firstLine="0"/>
        <w:jc w:val="both"/>
      </w:pPr>
      <w:r>
        <w:t>충청북도 또는 전북특별자치도ㆍ제주특별자치도에 채무자가 거주하거나 주된 사무소 등을 둔 경우 각각 대전회생법원 또는 광주회생법원에도 회생사건, 간이회생사건, 파산사건 또는 개인회생사건을 신청할 수 있도록 중복관할을 허용하는 한편,</w:t>
      </w:r>
    </w:p>
    <w:p>
      <w:pPr>
        <w:spacing w:line="384" w:lineRule="auto" w:before="120" w:after="120"/>
        <w:ind w:firstLine="0"/>
        <w:jc w:val="both"/>
      </w:pPr>
      <w:r>
        <w:t>과도한 형벌규정으로 인한 민간 경제활동의 어려움을 경감하기 위하여 종전에는 구인의 명을 받은 자가 그 사실을 알면서도 파산절차를 지연시키거나 구인의 집행을 회피할 목적으로 도주한 때 1년 이하의 징역 또는 1천만원 이하의 벌금에 처하도록 하였으나, 앞으로는 그 사실을 알면서도 정당한 사유 없이 출석하지 아니한 때 500만원 이하의 과태료를 부과하도록 함.</w:t>
      </w:r>
    </w:p>
    <w:p/>
    <w:p>
      <w:pPr>
        <w:spacing w:line="384" w:lineRule="auto" w:before="120" w:after="120"/>
      </w:pPr>
      <w:r>
        <w:rPr>
          <w:b/>
          <w:sz w:val="22"/>
        </w:rPr>
        <w:t>2. 파급효과</w:t>
      </w:r>
    </w:p>
    <w:p>
      <w:pPr>
        <w:spacing w:line="384" w:lineRule="auto" w:before="120" w:after="120"/>
        <w:jc w:val="both"/>
      </w:pPr>
      <w:r>
        <w:rPr>
          <w:b/>
        </w:rPr>
        <w:t>채무자 회생 및 파산에 관한 법률 개정에 따른 실무 영향을 면밀히 검토하여 관련 업무에 반영 바람.</w:t>
      </w:r>
    </w:p>
    <w:p/>
    <w:p>
      <w:pPr>
        <w:spacing w:line="384" w:lineRule="auto" w:before="120" w:after="120"/>
      </w:pPr>
      <w:r>
        <w:rPr>
          <w:b/>
          <w:sz w:val="22"/>
        </w:rPr>
        <w:t>3. 신구조문 대비표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b/>
              </w:rPr>
              <w:t>제3조(재판관할) ① ∼ ⑪ (생 략)</w:t>
              <w:br/>
              <w:t>[개정 전]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b/>
              </w:rPr>
              <w:t>제3조(재판관할) ① ∼ ⑪ (현행과 같음)</w:t>
              <w:br/>
              <w:t>[개정 후]</w:t>
            </w:r>
          </w:p>
        </w:tc>
      </w:tr>
      <w:tr>
        <w:tc>
          <w:tcPr>
            <w:tcW w:type="dxa" w:w="4320"/>
          </w:tcPr>
          <w:p>
            <w:pPr>
              <w:spacing w:line="384" w:lineRule="auto"/>
            </w:pPr>
            <w:r>
              <w:rPr>
                <w:sz w:val="18"/>
              </w:rPr>
              <w:t>제3조(재판관할) ① ∼ ⑪ (생 략)</w:t>
            </w:r>
          </w:p>
        </w:tc>
        <w:tc>
          <w:tcPr>
            <w:tcW w:type="dxa" w:w="4320"/>
          </w:tcPr>
          <w:p>
            <w:pPr>
              <w:spacing w:line="384" w:lineRule="auto"/>
            </w:pPr>
            <w:r>
              <w:rPr>
                <w:sz w:val="18"/>
              </w:rPr>
              <w:t>제3조(재판관할) ① ∼ ⑪ (현행과 같음)</w:t>
            </w:r>
          </w:p>
        </w:tc>
      </w:tr>
      <w:tr>
        <w:tc>
          <w:tcPr>
            <w:tcW w:type="dxa" w:w="4320"/>
          </w:tcPr>
          <w:p>
            <w:pPr>
              <w:spacing w:line="384" w:lineRule="auto"/>
            </w:pPr>
            <w:r>
              <w:rPr>
                <w:sz w:val="18"/>
              </w:rPr>
              <w:t>&lt;신 설&gt;</w:t>
            </w:r>
          </w:p>
        </w:tc>
        <w:tc>
          <w:tcPr>
            <w:tcW w:type="dxa" w:w="4320"/>
          </w:tcPr>
          <w:p>
            <w:pPr>
              <w:spacing w:line="384" w:lineRule="auto"/>
            </w:pPr>
            <w:r>
              <w:rPr>
                <w:sz w:val="18"/>
              </w:rPr>
              <w:t>⑫ 제1항에도 불구하고 채무자의 제1항 각 호의 소재지가 충청북도인 경우에 회생사건, 간이회생사건, 파산사건 또는 개인회생사건은 대전회생법원에도 신청할 수 있다.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