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0753F" w14:textId="5AF08FDB" w:rsidR="0086336A" w:rsidRDefault="00F44099" w:rsidP="00F44099">
      <w:pPr>
        <w:pStyle w:val="Title"/>
        <w:rPr>
          <w:lang w:val="en-US"/>
        </w:rPr>
      </w:pPr>
      <w:r>
        <w:rPr>
          <w:lang w:val="en-US"/>
        </w:rPr>
        <w:t>Citigroup</w:t>
      </w:r>
    </w:p>
    <w:p w14:paraId="473350D7" w14:textId="77777777" w:rsidR="00F44099" w:rsidRDefault="00F44099" w:rsidP="00F44099">
      <w:pPr>
        <w:pStyle w:val="Heading1"/>
      </w:pPr>
      <w:r>
        <w:t>Q1 2025</w:t>
      </w:r>
    </w:p>
    <w:p w14:paraId="24A6B021" w14:textId="77777777" w:rsidR="00F44099" w:rsidRDefault="00F44099" w:rsidP="00F44099"/>
    <w:p w14:paraId="29BFB9CE" w14:textId="77777777" w:rsidR="00F44099" w:rsidRDefault="00F44099" w:rsidP="00F44099">
      <w:pPr>
        <w:pStyle w:val="Heading1"/>
      </w:pPr>
      <w:r>
        <w:t>Q2 2025</w:t>
      </w:r>
    </w:p>
    <w:p w14:paraId="3B47E92E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 xml:space="preserve">8% increase in revenue and higher net income despite decline in “all others”, showing strong performance in remaining divisions YoY is still the main strength of Citigroup </w:t>
      </w:r>
    </w:p>
    <w:p w14:paraId="50C95F47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>Sustainable results through different environments</w:t>
      </w:r>
    </w:p>
    <w:p w14:paraId="58591144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>Best second quarter performance since 2020 for equities</w:t>
      </w:r>
    </w:p>
    <w:p w14:paraId="6BF83BD0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 xml:space="preserve">Simplified and streamlined business operations </w:t>
      </w:r>
    </w:p>
    <w:p w14:paraId="2D1B79CC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>Stress test shows they are well positioned to continue to increase return of capital to shareholders and how they have derisked the company</w:t>
      </w:r>
    </w:p>
    <w:p w14:paraId="121C5BDB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 xml:space="preserve">Higher investments in tech upgrades into operations like AI tools, modernising the bank. </w:t>
      </w:r>
    </w:p>
    <w:p w14:paraId="64FCA4BE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 xml:space="preserve">Confident tone in transcripts about outlook for performance. </w:t>
      </w:r>
    </w:p>
    <w:p w14:paraId="4B48F21A" w14:textId="77777777" w:rsidR="00F44099" w:rsidRDefault="00F44099" w:rsidP="00F44099">
      <w:pPr>
        <w:pStyle w:val="ListParagraph"/>
        <w:numPr>
          <w:ilvl w:val="0"/>
          <w:numId w:val="2"/>
        </w:numPr>
      </w:pPr>
      <w:r>
        <w:t xml:space="preserve">Still has buffer in action to combat volatility which shows proactiveness and cautious approach should circumstances so dictate. </w:t>
      </w:r>
    </w:p>
    <w:p w14:paraId="487CAA8F" w14:textId="77777777" w:rsidR="00F44099" w:rsidRDefault="00F44099" w:rsidP="00F44099"/>
    <w:p w14:paraId="71A804FD" w14:textId="77777777" w:rsidR="00F44099" w:rsidRDefault="00F44099" w:rsidP="00F44099">
      <w:pPr>
        <w:pStyle w:val="Heading1"/>
      </w:pPr>
      <w:r>
        <w:t>Q3 2025</w:t>
      </w:r>
    </w:p>
    <w:p w14:paraId="55D46455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>Selling of 25% equity stake in Grupo Financiero included in revenues.</w:t>
      </w:r>
    </w:p>
    <w:p w14:paraId="5019E579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>Continued growth in performance and returns quarter after quarter.</w:t>
      </w:r>
    </w:p>
    <w:p w14:paraId="0C852F92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>Record third quarter revenue and services posting best quarter ever, markets delivered best third quarter ever.  Record Net New Investment assets.</w:t>
      </w:r>
    </w:p>
    <w:p w14:paraId="6C7EBAFE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 xml:space="preserve">Transformation, simplification and new investments in digitisation efforts are seeing good results performance wise. </w:t>
      </w:r>
    </w:p>
    <w:p w14:paraId="54D8A300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>New Co-Heads of M&amp;A</w:t>
      </w:r>
    </w:p>
    <w:p w14:paraId="15F21317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>New strategic partnership with BlackRock.</w:t>
      </w:r>
    </w:p>
    <w:p w14:paraId="02D315E7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 xml:space="preserve">Increased Clarity around tariffs easing volatility. </w:t>
      </w:r>
    </w:p>
    <w:p w14:paraId="76FBE966" w14:textId="77777777" w:rsidR="00F44099" w:rsidRDefault="00F44099" w:rsidP="00F44099">
      <w:pPr>
        <w:pStyle w:val="ListParagraph"/>
        <w:numPr>
          <w:ilvl w:val="0"/>
          <w:numId w:val="3"/>
        </w:numPr>
      </w:pPr>
      <w:r>
        <w:t>Planned IPO for Banamex transaction.</w:t>
      </w:r>
    </w:p>
    <w:p w14:paraId="3935EDE3" w14:textId="77777777" w:rsidR="00F44099" w:rsidRDefault="00F44099" w:rsidP="00F44099"/>
    <w:p w14:paraId="64F3E339" w14:textId="77777777" w:rsidR="00F44099" w:rsidRDefault="00F44099" w:rsidP="00F44099">
      <w:pPr>
        <w:pStyle w:val="Heading1"/>
      </w:pPr>
      <w:r>
        <w:lastRenderedPageBreak/>
        <w:t>Q4 2025</w:t>
      </w:r>
    </w:p>
    <w:p w14:paraId="7B60DFAA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 xml:space="preserve">Increase in revenue but not as big of an increase compared to previous quarters. </w:t>
      </w:r>
    </w:p>
    <w:p w14:paraId="4E71746B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Biggest return of capital back to shareholders since pandemic.</w:t>
      </w:r>
    </w:p>
    <w:p w14:paraId="718C09DB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Earnings per share decreased.</w:t>
      </w:r>
    </w:p>
    <w:p w14:paraId="2463005C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Markets revenue decreased.</w:t>
      </w:r>
    </w:p>
    <w:p w14:paraId="05118F2F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Banking revenues have huge increase %. Record year for banking division overall.</w:t>
      </w:r>
    </w:p>
    <w:p w14:paraId="0DAEB5AD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“All Others” revenue still down.</w:t>
      </w:r>
    </w:p>
    <w:p w14:paraId="027C58C9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Continued progress in transformation and digitisation.</w:t>
      </w:r>
    </w:p>
    <w:p w14:paraId="7766CD90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 xml:space="preserve">Overall good yearly performance but this quarter’s improved CTTO last year’s Q4 is weaker than Q1-3 of this year’s improvements. </w:t>
      </w:r>
    </w:p>
    <w:p w14:paraId="3DE91682" w14:textId="77777777" w:rsidR="00F44099" w:rsidRDefault="00F44099" w:rsidP="00F44099">
      <w:pPr>
        <w:pStyle w:val="ListParagraph"/>
        <w:numPr>
          <w:ilvl w:val="0"/>
          <w:numId w:val="4"/>
        </w:numPr>
      </w:pPr>
      <w:r>
        <w:t>Macros wise, optimism and confidence in market is growing.</w:t>
      </w:r>
    </w:p>
    <w:p w14:paraId="32115A1C" w14:textId="77777777" w:rsidR="00F44099" w:rsidRDefault="00F44099" w:rsidP="00F44099"/>
    <w:p w14:paraId="74BC12E3" w14:textId="77777777" w:rsidR="00F44099" w:rsidRPr="00F44099" w:rsidRDefault="00F44099">
      <w:pPr>
        <w:rPr>
          <w:lang w:val="en-US"/>
        </w:rPr>
      </w:pPr>
    </w:p>
    <w:sectPr w:rsidR="00F44099" w:rsidRPr="00F44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30DEF"/>
    <w:multiLevelType w:val="hybridMultilevel"/>
    <w:tmpl w:val="7FA8D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B3585"/>
    <w:multiLevelType w:val="hybridMultilevel"/>
    <w:tmpl w:val="E1D8A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55D5A"/>
    <w:multiLevelType w:val="hybridMultilevel"/>
    <w:tmpl w:val="FE268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628420">
    <w:abstractNumId w:val="0"/>
  </w:num>
  <w:num w:numId="2" w16cid:durableId="1339036696">
    <w:abstractNumId w:val="1"/>
  </w:num>
  <w:num w:numId="3" w16cid:durableId="1496872610">
    <w:abstractNumId w:val="3"/>
  </w:num>
  <w:num w:numId="4" w16cid:durableId="158757366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99"/>
    <w:rsid w:val="0035573A"/>
    <w:rsid w:val="00692AC2"/>
    <w:rsid w:val="0086336A"/>
    <w:rsid w:val="00F4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FA1C6"/>
  <w15:chartTrackingRefBased/>
  <w15:docId w15:val="{6D1179CF-64C9-9747-A253-9FD00B5D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1</cp:revision>
  <dcterms:created xsi:type="dcterms:W3CDTF">2026-07-18T16:05:00Z</dcterms:created>
  <dcterms:modified xsi:type="dcterms:W3CDTF">2026-07-18T16:06:00Z</dcterms:modified>
</cp:coreProperties>
</file>