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64E" w:rsidRDefault="004456A7">
      <w:pPr>
        <w:pStyle w:val="Title"/>
      </w:pPr>
      <w:r>
        <w:t>Point Patterns</w:t>
      </w:r>
    </w:p>
    <w:p w:rsidR="008A464E" w:rsidRDefault="004456A7">
      <w:pPr>
        <w:pStyle w:val="Author"/>
      </w:pPr>
      <w:r>
        <w:t>Nelson Stauffer</w:t>
      </w:r>
    </w:p>
    <w:p w:rsidR="008A464E" w:rsidRDefault="004456A7">
      <w:pPr>
        <w:pStyle w:val="Date"/>
      </w:pPr>
      <w:r>
        <w:t>March 30, 2018</w:t>
      </w:r>
    </w:p>
    <w:p w:rsidR="008A464E" w:rsidRDefault="004456A7">
      <w:pPr>
        <w:pStyle w:val="Heading2"/>
      </w:pPr>
      <w:bookmarkStart w:id="0" w:name="introduction"/>
      <w:bookmarkEnd w:id="0"/>
      <w:r>
        <w:t>Introduction</w:t>
      </w:r>
    </w:p>
    <w:p w:rsidR="008A464E" w:rsidRDefault="004456A7">
      <w:pPr>
        <w:pStyle w:val="FirstParagraph"/>
      </w:pPr>
      <w:r>
        <w:t xml:space="preserve">Understanding the impacts of patterns is critical for understanding any data, including those in landscape ecology. This is true not only of the patterns observed, but also the patterns </w:t>
      </w:r>
      <w:r>
        <w:rPr>
          <w:i/>
        </w:rPr>
        <w:t>created</w:t>
      </w:r>
      <w:r>
        <w:t xml:space="preserve"> </w:t>
      </w:r>
      <w:r>
        <w:t>in the sample designs. A sample design that results in data being gathered in a spatially or temporally uneven distribution has a high risk of introducing biases. These can be compensated for with techniques like weighting values according to their distrib</w:t>
      </w:r>
      <w:r>
        <w:t xml:space="preserve">utions to emphasize data from comparatively undersampled regions/times, but there are limits to those approaches </w:t>
      </w:r>
      <w:r>
        <w:rPr>
          <w:i/>
        </w:rPr>
        <w:t>e.g.</w:t>
      </w:r>
      <w:r>
        <w:t xml:space="preserve"> features like aspen stands which may occur in small, discrete spatial extents are likely to be missed when samples are clustered. However,</w:t>
      </w:r>
      <w:r>
        <w:t xml:space="preserve"> a perfectly rigid and regular sample can also introduce biases because it can dramatically limit the inference space by excluding areas or periods from being part of the population sampled, </w:t>
      </w:r>
      <w:r>
        <w:rPr>
          <w:i/>
        </w:rPr>
        <w:t>e.g.</w:t>
      </w:r>
      <w:r>
        <w:t xml:space="preserve"> sampling vegetation at regularly spaced intervals in an area</w:t>
      </w:r>
      <w:r>
        <w:t xml:space="preserve"> with seed rows from a planting might over or underestimate foliar cover if the spacing coincides with the sampling interval.</w:t>
      </w:r>
    </w:p>
    <w:p w:rsidR="008A464E" w:rsidRDefault="004456A7">
      <w:pPr>
        <w:pStyle w:val="BodyText"/>
      </w:pPr>
      <w:r>
        <w:t>For many study efforts, a random sampling approach with minimal clustering will produce a dataset with maximum power. There are wa</w:t>
      </w:r>
      <w:r>
        <w:t>ys to try to achieve this (</w:t>
      </w:r>
      <w:r>
        <w:rPr>
          <w:i/>
        </w:rPr>
        <w:t>e.g.</w:t>
      </w:r>
      <w:r>
        <w:t xml:space="preserve"> a sample design using an explicitly spatial-balanced random sampling algorithm like Generalized Random Tesselation Stratified [GRTS]) but characterizing the ultimate distribution biases in the final data is important because</w:t>
      </w:r>
      <w:r>
        <w:t xml:space="preserve"> real-world sampling rarely adheres exactly to even a perfectly-distributed sample design. Additionally, there are situations in which the sampling effort's spatial distribution is determined by the population itself, as in the case of the data used in thi</w:t>
      </w:r>
      <w:r>
        <w:t>s lab which attempts to survey every longleaf pine (</w:t>
      </w:r>
      <w:r>
        <w:rPr>
          <w:i/>
        </w:rPr>
        <w:t>Pinus palustris</w:t>
      </w:r>
      <w:r>
        <w:t>) within two stands and is constrained to the distributions of the individual trees. In any case, there are metrics that can be used to quantify the distribution like Ripley's K(t).</w:t>
      </w:r>
    </w:p>
    <w:p w:rsidR="008A464E" w:rsidRDefault="004456A7">
      <w:pPr>
        <w:pStyle w:val="BodyText"/>
      </w:pPr>
      <m:oMathPara>
        <m:oMath>
          <m:r>
            <m:rPr>
              <m:sty m:val="p"/>
            </m:rPr>
            <w:rPr>
              <w:rFonts w:ascii="Cambria Math" w:hAnsi="Cambria Math"/>
            </w:rPr>
            <m:t>K(t) =</m:t>
          </m:r>
          <m:f>
            <m:fPr>
              <m:ctrlPr>
                <w:rPr>
                  <w:rFonts w:ascii="Cambria Math" w:hAnsi="Cambria Math"/>
                </w:rPr>
              </m:ctrlPr>
            </m:fPr>
            <m:num>
              <m:r>
                <m:rPr>
                  <m:sty m:val="p"/>
                </m:rPr>
                <w:rPr>
                  <w:rFonts w:ascii="Cambria Math" w:hAnsi="Cambria Math"/>
                </w:rPr>
                <m:t>S</m:t>
              </m:r>
              <m:r>
                <m:rPr>
                  <m:sty m:val="p"/>
                </m:rPr>
                <w:rPr>
                  <w:rFonts w:ascii="Cambria Math" w:hAnsi="Cambria Math"/>
                </w:rPr>
                <m:t>amples within radius t</m:t>
              </m:r>
            </m:num>
            <m:den>
              <m:r>
                <m:rPr>
                  <m:sty m:val="p"/>
                </m:rPr>
                <w:rPr>
                  <w:rFonts w:ascii="Cambria Math" w:hAnsi="Cambria Math"/>
                </w:rPr>
                <m:t>Density of sampling</m:t>
              </m:r>
            </m:den>
          </m:f>
        </m:oMath>
      </m:oMathPara>
    </w:p>
    <w:p w:rsidR="008A464E" w:rsidRDefault="004456A7">
      <w:pPr>
        <w:pStyle w:val="BodyText"/>
      </w:pPr>
      <w:r>
        <w:t xml:space="preserve">Historically, </w:t>
      </w:r>
      <w:r>
        <w:rPr>
          <w:i/>
        </w:rPr>
        <w:t>P. palustris</w:t>
      </w:r>
      <w:r>
        <w:t xml:space="preserve">-dominated ecosystems covered much of the North American southeast, but has seen rapid decline since the introduction of invasive </w:t>
      </w:r>
      <w:r>
        <w:rPr>
          <w:i/>
        </w:rPr>
        <w:t>H. sapiens</w:t>
      </w:r>
      <w:r>
        <w:t xml:space="preserve"> from Europe starting circa 1500 CE due to heavy</w:t>
      </w:r>
      <w:r>
        <w:t xml:space="preserve"> exploitation. The systems also evolved for frequent fire, which humans typically suppress, either through conversion of the fire-prone systems or interfering with the ignition and spread of burns. Because understanding and preserving these forests is impo</w:t>
      </w:r>
      <w:r>
        <w:t>rtant, efforts to characterize their growth patterns are also important. However, interpreting the data is always complicated and should be guided by metrics like Ripley's K which can help to understand the robustness and generalizability of those interpre</w:t>
      </w:r>
      <w:r>
        <w:t>tations.</w:t>
      </w:r>
    </w:p>
    <w:p w:rsidR="008A464E" w:rsidRDefault="004456A7">
      <w:pPr>
        <w:pStyle w:val="Heading2"/>
      </w:pPr>
      <w:bookmarkStart w:id="1" w:name="methods"/>
      <w:bookmarkEnd w:id="1"/>
      <w:r>
        <w:lastRenderedPageBreak/>
        <w:t>Methods</w:t>
      </w:r>
    </w:p>
    <w:tbl>
      <w:tblPr>
        <w:tblStyle w:val="PlainTable5"/>
        <w:tblW w:w="7765" w:type="dxa"/>
        <w:tblLook w:val="04A0" w:firstRow="1" w:lastRow="0" w:firstColumn="1" w:lastColumn="0" w:noHBand="0" w:noVBand="1"/>
      </w:tblPr>
      <w:tblGrid>
        <w:gridCol w:w="1620"/>
        <w:gridCol w:w="1080"/>
        <w:gridCol w:w="2088"/>
        <w:gridCol w:w="1068"/>
        <w:gridCol w:w="1170"/>
        <w:gridCol w:w="835"/>
      </w:tblGrid>
      <w:tr w:rsidR="00A31D37" w:rsidRPr="00A31D37" w:rsidTr="00A31D37">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20" w:type="dxa"/>
            <w:noWrap/>
            <w:hideMark/>
          </w:tcPr>
          <w:p w:rsidR="00A31D37" w:rsidRPr="00A31D37" w:rsidRDefault="00A31D37" w:rsidP="00A31D37">
            <w:pPr>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Location</w:t>
            </w:r>
          </w:p>
        </w:tc>
        <w:tc>
          <w:tcPr>
            <w:tcW w:w="1080" w:type="dxa"/>
            <w:noWrap/>
            <w:hideMark/>
          </w:tcPr>
          <w:p w:rsidR="00A31D37" w:rsidRPr="00A31D37" w:rsidRDefault="00A31D37" w:rsidP="00A31D3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Area (ha)</w:t>
            </w:r>
          </w:p>
        </w:tc>
        <w:tc>
          <w:tcPr>
            <w:tcW w:w="2088" w:type="dxa"/>
            <w:noWrap/>
            <w:hideMark/>
          </w:tcPr>
          <w:p w:rsidR="00A31D37" w:rsidRPr="00A31D37" w:rsidRDefault="00A31D37" w:rsidP="00A31D3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Landform Type</w:t>
            </w:r>
          </w:p>
        </w:tc>
        <w:tc>
          <w:tcPr>
            <w:tcW w:w="972" w:type="dxa"/>
            <w:noWrap/>
            <w:hideMark/>
          </w:tcPr>
          <w:p w:rsidR="00A31D37" w:rsidRPr="00A31D37" w:rsidRDefault="00A31D37" w:rsidP="00A31D3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Elevation (m)</w:t>
            </w:r>
          </w:p>
        </w:tc>
        <w:tc>
          <w:tcPr>
            <w:tcW w:w="1170" w:type="dxa"/>
            <w:noWrap/>
            <w:hideMark/>
          </w:tcPr>
          <w:p w:rsidR="00A31D37" w:rsidRPr="00A31D37" w:rsidRDefault="00A31D37" w:rsidP="00A31D3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Slope (%)</w:t>
            </w:r>
          </w:p>
        </w:tc>
        <w:tc>
          <w:tcPr>
            <w:tcW w:w="835" w:type="dxa"/>
            <w:noWrap/>
            <w:hideMark/>
          </w:tcPr>
          <w:p w:rsidR="00A31D37" w:rsidRPr="00A31D37" w:rsidRDefault="00A31D37" w:rsidP="00A31D3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i w:val="0"/>
                <w:color w:val="000000"/>
                <w:sz w:val="22"/>
                <w:szCs w:val="22"/>
              </w:rPr>
            </w:pPr>
            <w:r w:rsidRPr="00A31D37">
              <w:rPr>
                <w:rFonts w:ascii="Calibri" w:eastAsia="Times New Roman" w:hAnsi="Calibri" w:cs="Calibri"/>
                <w:b/>
                <w:i w:val="0"/>
                <w:color w:val="000000"/>
                <w:sz w:val="22"/>
                <w:szCs w:val="22"/>
              </w:rPr>
              <w:t>Aspect</w:t>
            </w:r>
          </w:p>
        </w:tc>
      </w:tr>
      <w:tr w:rsidR="00A31D37" w:rsidRPr="00A31D37" w:rsidTr="00A31D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rsidR="00A31D37" w:rsidRPr="00A31D37" w:rsidRDefault="00A31D37" w:rsidP="00A31D37">
            <w:pPr>
              <w:rPr>
                <w:rFonts w:ascii="Calibri" w:eastAsia="Times New Roman" w:hAnsi="Calibri" w:cs="Calibri"/>
                <w:i w:val="0"/>
                <w:color w:val="000000"/>
                <w:sz w:val="22"/>
                <w:szCs w:val="22"/>
              </w:rPr>
            </w:pPr>
            <w:r w:rsidRPr="00A31D37">
              <w:rPr>
                <w:rFonts w:ascii="Calibri" w:eastAsia="Times New Roman" w:hAnsi="Calibri" w:cs="Calibri"/>
                <w:i w:val="0"/>
                <w:color w:val="000000"/>
                <w:sz w:val="22"/>
                <w:szCs w:val="22"/>
              </w:rPr>
              <w:t>Caffey Hill</w:t>
            </w:r>
          </w:p>
        </w:tc>
        <w:tc>
          <w:tcPr>
            <w:tcW w:w="1080" w:type="dxa"/>
            <w:noWrap/>
            <w:hideMark/>
          </w:tcPr>
          <w:p w:rsidR="00A31D37" w:rsidRPr="00A31D37" w:rsidRDefault="00A31D37" w:rsidP="00A31D3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1.5</w:t>
            </w:r>
          </w:p>
        </w:tc>
        <w:tc>
          <w:tcPr>
            <w:tcW w:w="2088" w:type="dxa"/>
            <w:noWrap/>
            <w:hideMark/>
          </w:tcPr>
          <w:p w:rsidR="00A31D37" w:rsidRPr="00A31D37" w:rsidRDefault="00A31D37" w:rsidP="00A31D3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Upper slope</w:t>
            </w:r>
          </w:p>
        </w:tc>
        <w:tc>
          <w:tcPr>
            <w:tcW w:w="972" w:type="dxa"/>
            <w:noWrap/>
            <w:hideMark/>
          </w:tcPr>
          <w:p w:rsidR="00A31D37" w:rsidRPr="00A31D37" w:rsidRDefault="00A31D37" w:rsidP="00A31D3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450</w:t>
            </w:r>
          </w:p>
        </w:tc>
        <w:tc>
          <w:tcPr>
            <w:tcW w:w="1170" w:type="dxa"/>
            <w:noWrap/>
            <w:hideMark/>
          </w:tcPr>
          <w:p w:rsidR="00A31D37" w:rsidRPr="00A31D37" w:rsidRDefault="00A31D37" w:rsidP="00A31D3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40-60</w:t>
            </w:r>
          </w:p>
        </w:tc>
        <w:tc>
          <w:tcPr>
            <w:tcW w:w="835" w:type="dxa"/>
            <w:noWrap/>
            <w:hideMark/>
          </w:tcPr>
          <w:p w:rsidR="00A31D37" w:rsidRPr="00A31D37" w:rsidRDefault="00A31D37" w:rsidP="00A31D3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SSE</w:t>
            </w:r>
          </w:p>
        </w:tc>
      </w:tr>
      <w:tr w:rsidR="00A31D37" w:rsidRPr="00A31D37" w:rsidTr="00A31D37">
        <w:trPr>
          <w:trHeight w:val="300"/>
        </w:trPr>
        <w:tc>
          <w:tcPr>
            <w:cnfStyle w:val="001000000000" w:firstRow="0" w:lastRow="0" w:firstColumn="1" w:lastColumn="0" w:oddVBand="0" w:evenVBand="0" w:oddHBand="0" w:evenHBand="0" w:firstRowFirstColumn="0" w:firstRowLastColumn="0" w:lastRowFirstColumn="0" w:lastRowLastColumn="0"/>
            <w:tcW w:w="1620" w:type="dxa"/>
            <w:noWrap/>
            <w:hideMark/>
          </w:tcPr>
          <w:p w:rsidR="00A31D37" w:rsidRPr="00A31D37" w:rsidRDefault="00A31D37" w:rsidP="00A31D37">
            <w:pPr>
              <w:rPr>
                <w:rFonts w:ascii="Calibri" w:eastAsia="Times New Roman" w:hAnsi="Calibri" w:cs="Calibri"/>
                <w:i w:val="0"/>
                <w:color w:val="000000"/>
                <w:sz w:val="22"/>
                <w:szCs w:val="22"/>
              </w:rPr>
            </w:pPr>
            <w:r w:rsidRPr="00A31D37">
              <w:rPr>
                <w:rFonts w:ascii="Calibri" w:eastAsia="Times New Roman" w:hAnsi="Calibri" w:cs="Calibri"/>
                <w:i w:val="0"/>
                <w:color w:val="000000"/>
                <w:sz w:val="22"/>
                <w:szCs w:val="22"/>
              </w:rPr>
              <w:t>Red-tail Ridge</w:t>
            </w:r>
          </w:p>
        </w:tc>
        <w:tc>
          <w:tcPr>
            <w:tcW w:w="1080" w:type="dxa"/>
            <w:noWrap/>
            <w:hideMark/>
          </w:tcPr>
          <w:p w:rsidR="00A31D37" w:rsidRPr="00A31D37" w:rsidRDefault="00A31D37" w:rsidP="00A31D3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1.8</w:t>
            </w:r>
          </w:p>
        </w:tc>
        <w:tc>
          <w:tcPr>
            <w:tcW w:w="2088" w:type="dxa"/>
            <w:noWrap/>
            <w:hideMark/>
          </w:tcPr>
          <w:p w:rsidR="00A31D37" w:rsidRPr="00A31D37" w:rsidRDefault="00A31D37" w:rsidP="00A31D3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Mid- to Upper Slope</w:t>
            </w:r>
          </w:p>
        </w:tc>
        <w:tc>
          <w:tcPr>
            <w:tcW w:w="972" w:type="dxa"/>
            <w:noWrap/>
            <w:hideMark/>
          </w:tcPr>
          <w:p w:rsidR="00A31D37" w:rsidRPr="00A31D37" w:rsidRDefault="00A31D37" w:rsidP="00A31D3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350</w:t>
            </w:r>
          </w:p>
        </w:tc>
        <w:tc>
          <w:tcPr>
            <w:tcW w:w="1170" w:type="dxa"/>
            <w:noWrap/>
            <w:hideMark/>
          </w:tcPr>
          <w:p w:rsidR="00A31D37" w:rsidRPr="00A31D37" w:rsidRDefault="00A31D37" w:rsidP="00A31D3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30-45</w:t>
            </w:r>
          </w:p>
        </w:tc>
        <w:tc>
          <w:tcPr>
            <w:tcW w:w="835" w:type="dxa"/>
            <w:noWrap/>
            <w:hideMark/>
          </w:tcPr>
          <w:p w:rsidR="00A31D37" w:rsidRPr="00A31D37" w:rsidRDefault="00A31D37" w:rsidP="00A31D3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sidRPr="00A31D37">
              <w:rPr>
                <w:rFonts w:ascii="Calibri" w:eastAsia="Times New Roman" w:hAnsi="Calibri" w:cs="Calibri"/>
                <w:color w:val="000000"/>
                <w:sz w:val="22"/>
                <w:szCs w:val="22"/>
              </w:rPr>
              <w:t>WSW</w:t>
            </w:r>
          </w:p>
        </w:tc>
      </w:tr>
    </w:tbl>
    <w:p w:rsidR="008A464E" w:rsidRPr="00A31D37" w:rsidRDefault="004456A7">
      <w:pPr>
        <w:pStyle w:val="FirstParagraph"/>
        <w:rPr>
          <w:i/>
          <w:sz w:val="20"/>
          <w:szCs w:val="20"/>
        </w:rPr>
      </w:pPr>
      <w:r w:rsidRPr="00A31D37">
        <w:rPr>
          <w:i/>
          <w:sz w:val="20"/>
          <w:szCs w:val="20"/>
        </w:rPr>
        <w:t>Table 1: Survey locations used in the study and their physical characteristics (</w:t>
      </w:r>
      <w:r w:rsidR="007C1E2D">
        <w:rPr>
          <w:i/>
          <w:sz w:val="20"/>
          <w:szCs w:val="20"/>
        </w:rPr>
        <w:t>Varner 2013</w:t>
      </w:r>
      <w:r w:rsidRPr="00A31D37">
        <w:rPr>
          <w:i/>
          <w:sz w:val="20"/>
          <w:szCs w:val="20"/>
        </w:rPr>
        <w:t>)</w:t>
      </w:r>
    </w:p>
    <w:p w:rsidR="008A464E" w:rsidRDefault="004456A7">
      <w:pPr>
        <w:pStyle w:val="BodyText"/>
      </w:pPr>
      <w:r>
        <w:t>The data used came from two locations: Caffey Hill and Red-tail Ridge. (Table 1) Within each of these areas, the diameter at breast height (DBH) in c</w:t>
      </w:r>
      <w:r>
        <w:t xml:space="preserve">m was recorded for every living </w:t>
      </w:r>
      <w:r>
        <w:rPr>
          <w:i/>
        </w:rPr>
        <w:t>P. palustris</w:t>
      </w:r>
      <w:r>
        <w:t xml:space="preserve"> with DBH greater than 2.5 cm. Sampling took place in 1999 and again in 2013.</w:t>
      </w:r>
    </w:p>
    <w:p w:rsidR="008A464E" w:rsidRDefault="004456A7">
      <w:pPr>
        <w:pStyle w:val="BodyText"/>
      </w:pPr>
      <w:r>
        <w:t>Data were stored in an Excel workbook without built-in quality assurance mechanisms and so there were minor variations indata recordin</w:t>
      </w:r>
      <w:r>
        <w:t>g approaches both within and between years as well as some unusable data. Data cleaning was extremely aggressive because I was not part of the survey crew and didn't have access to additional information beyond their notes to use to correct (rather than re</w:t>
      </w:r>
      <w:r>
        <w:t>move) data. The data were standardized in a series of quality control steps:</w:t>
      </w:r>
    </w:p>
    <w:p w:rsidR="008A464E" w:rsidRDefault="004456A7">
      <w:pPr>
        <w:pStyle w:val="Compact"/>
        <w:numPr>
          <w:ilvl w:val="0"/>
          <w:numId w:val="3"/>
        </w:numPr>
      </w:pPr>
      <w:r>
        <w:t xml:space="preserve">Convert the varaible names to consistently differentiate the year the record came from </w:t>
      </w:r>
      <w:r>
        <w:rPr>
          <w:i/>
        </w:rPr>
        <w:t>e.g.</w:t>
      </w:r>
      <w:r>
        <w:t xml:space="preserve"> "DBH99" and "DBH13" for the DBH values from 1999 and 2013, respectively</w:t>
      </w:r>
    </w:p>
    <w:p w:rsidR="008A464E" w:rsidRDefault="004456A7">
      <w:pPr>
        <w:pStyle w:val="Compact"/>
        <w:numPr>
          <w:ilvl w:val="0"/>
          <w:numId w:val="3"/>
        </w:numPr>
      </w:pPr>
      <w:r>
        <w:t>Convert all "NA</w:t>
      </w:r>
      <w:r>
        <w:t xml:space="preserve">", "NR", and "N" string values to </w:t>
      </w:r>
      <w:r>
        <w:rPr>
          <w:b/>
        </w:rPr>
        <w:t>NA</w:t>
      </w:r>
      <w:r>
        <w:t>, correctly representing the lack of a value for those records</w:t>
      </w:r>
    </w:p>
    <w:p w:rsidR="008A464E" w:rsidRDefault="004456A7">
      <w:pPr>
        <w:pStyle w:val="Compact"/>
        <w:numPr>
          <w:ilvl w:val="0"/>
          <w:numId w:val="3"/>
        </w:numPr>
      </w:pPr>
      <w:r>
        <w:t>Convert DBH99 from inches to centimeters using 2.54 as the conversion factor</w:t>
      </w:r>
    </w:p>
    <w:p w:rsidR="008A464E" w:rsidRDefault="004456A7">
      <w:pPr>
        <w:pStyle w:val="Compact"/>
        <w:numPr>
          <w:ilvl w:val="0"/>
          <w:numId w:val="3"/>
        </w:numPr>
      </w:pPr>
      <w:r>
        <w:t>Round DBH values to the nearest c</w:t>
      </w:r>
      <w:r w:rsidR="00A31D37">
        <w:t>enti</w:t>
      </w:r>
      <w:r>
        <w:t>m</w:t>
      </w:r>
      <w:r w:rsidR="00A31D37">
        <w:t>eter</w:t>
      </w:r>
      <w:r>
        <w:t>, eliminating false precision</w:t>
      </w:r>
    </w:p>
    <w:p w:rsidR="008A464E" w:rsidRDefault="004456A7">
      <w:pPr>
        <w:pStyle w:val="Compact"/>
        <w:numPr>
          <w:ilvl w:val="0"/>
          <w:numId w:val="3"/>
        </w:numPr>
      </w:pPr>
      <w:r>
        <w:t>Remove records w</w:t>
      </w:r>
      <w:r>
        <w:t>ithout both a numeric X and Y coordinate value</w:t>
      </w:r>
    </w:p>
    <w:p w:rsidR="008A464E" w:rsidRDefault="004456A7">
      <w:pPr>
        <w:pStyle w:val="Compact"/>
        <w:numPr>
          <w:ilvl w:val="0"/>
          <w:numId w:val="3"/>
        </w:numPr>
      </w:pPr>
      <w:r>
        <w:t xml:space="preserve">Remove records where the DBH99 value was greater than the DBH13 values, </w:t>
      </w:r>
      <w:r>
        <w:rPr>
          <w:i/>
        </w:rPr>
        <w:t>N.B.</w:t>
      </w:r>
      <w:r>
        <w:t xml:space="preserve"> one such record had a note suggesting that it was smaller in 2013 due to a burn, but it was removed </w:t>
      </w:r>
      <w:r w:rsidR="00A31D37">
        <w:t>out of an abundance of caution</w:t>
      </w:r>
    </w:p>
    <w:p w:rsidR="008A464E" w:rsidRDefault="004456A7">
      <w:pPr>
        <w:pStyle w:val="Compact"/>
        <w:numPr>
          <w:ilvl w:val="0"/>
          <w:numId w:val="3"/>
        </w:numPr>
      </w:pPr>
      <w:r>
        <w:t>Removed any records w</w:t>
      </w:r>
      <w:r>
        <w:t>here a tree was recorded as dead in 1999 and alive in 2013</w:t>
      </w:r>
    </w:p>
    <w:p w:rsidR="00A31D37" w:rsidRPr="00A31D37" w:rsidRDefault="00A31D37" w:rsidP="00A31D37">
      <w:pPr>
        <w:pStyle w:val="Compact"/>
      </w:pPr>
      <w:r>
        <w:t>Once the data were clean, they were used to create a points shapefile and Ripley’s K(t) was calculated for trees in 2013 that had undergone a &lt; 5 cm increase in DBH and a &gt;= 5 cm increase in DBH</w:t>
      </w:r>
      <w:r w:rsidR="00CF050A">
        <w:t xml:space="preserve"> using the Spatial Analyst tools in ArcMap</w:t>
      </w:r>
      <w:r>
        <w:t>.</w:t>
      </w:r>
    </w:p>
    <w:p w:rsidR="008A464E" w:rsidRDefault="004456A7">
      <w:pPr>
        <w:pStyle w:val="Heading2"/>
      </w:pPr>
      <w:bookmarkStart w:id="2" w:name="results"/>
      <w:bookmarkEnd w:id="2"/>
      <w:r>
        <w:lastRenderedPageBreak/>
        <w:t>R</w:t>
      </w:r>
      <w:r>
        <w:t>esults</w:t>
      </w:r>
    </w:p>
    <w:p w:rsidR="008A464E" w:rsidRDefault="004456A7">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8A464E" w:rsidRPr="00A31D37" w:rsidRDefault="004456A7">
      <w:pPr>
        <w:pStyle w:val="BodyText"/>
        <w:rPr>
          <w:i/>
          <w:sz w:val="20"/>
          <w:szCs w:val="20"/>
        </w:rPr>
      </w:pPr>
      <w:r w:rsidRPr="00A31D37">
        <w:rPr>
          <w:i/>
          <w:sz w:val="20"/>
          <w:szCs w:val="20"/>
        </w:rPr>
        <w:t>Figure 1: The change in DB</w:t>
      </w:r>
      <w:r w:rsidRPr="00A31D37">
        <w:rPr>
          <w:i/>
          <w:sz w:val="20"/>
          <w:szCs w:val="20"/>
        </w:rPr>
        <w:t>H in cm from 1999 to 2013 for trees alive in both years normalized for the number of sampled trees in each area. Caffey Hill shows a slightly higher change in DBH for the period than Red-Tail Ridge.</w:t>
      </w:r>
    </w:p>
    <w:p w:rsidR="008A464E" w:rsidRDefault="004456A7">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8A464E" w:rsidRPr="00A31D37" w:rsidRDefault="004456A7">
      <w:pPr>
        <w:pStyle w:val="BodyText"/>
        <w:rPr>
          <w:i/>
          <w:sz w:val="20"/>
          <w:szCs w:val="20"/>
        </w:rPr>
      </w:pPr>
      <w:r w:rsidRPr="00A31D37">
        <w:rPr>
          <w:i/>
          <w:sz w:val="20"/>
          <w:szCs w:val="20"/>
        </w:rPr>
        <w:t>Figure 2: The proportional distribution of DBH by year in both sampled areas. Red-Tail Ridge shows a possible shif</w:t>
      </w:r>
      <w:r w:rsidRPr="00A31D37">
        <w:rPr>
          <w:i/>
          <w:sz w:val="20"/>
          <w:szCs w:val="20"/>
        </w:rPr>
        <w:t>t in overall distribution of the size classes toward thicker trees whereas Caffey Hill shows a shift toward smaller ones.</w:t>
      </w:r>
    </w:p>
    <w:p w:rsidR="008A464E" w:rsidRDefault="00A31D37">
      <w:pPr>
        <w:pStyle w:val="FirstParagrap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75pt;height:378.6pt">
            <v:imagedata r:id="rId9" o:title="Rplot"/>
          </v:shape>
        </w:pict>
      </w:r>
    </w:p>
    <w:p w:rsidR="00157EC6" w:rsidRDefault="004456A7">
      <w:pPr>
        <w:pStyle w:val="BodyText"/>
        <w:rPr>
          <w:i/>
          <w:sz w:val="20"/>
          <w:szCs w:val="20"/>
        </w:rPr>
      </w:pPr>
      <w:r w:rsidRPr="00A31D37">
        <w:rPr>
          <w:i/>
          <w:sz w:val="20"/>
          <w:szCs w:val="20"/>
        </w:rPr>
        <w:t>Figure 3: Spatial distribution (using relative coordinates) of DBH by year for both sampled areas.</w:t>
      </w:r>
      <w:r w:rsidR="00A31D37">
        <w:rPr>
          <w:i/>
          <w:sz w:val="20"/>
          <w:szCs w:val="20"/>
        </w:rPr>
        <w:t xml:space="preserve"> Although some trees died between years, most exhibited some increase in DBH</w:t>
      </w:r>
    </w:p>
    <w:p w:rsidR="00157EC6" w:rsidRDefault="00157EC6" w:rsidP="00157EC6">
      <w:pPr>
        <w:pStyle w:val="BodyText"/>
      </w:pPr>
      <w:r>
        <w:br w:type="page"/>
      </w:r>
    </w:p>
    <w:p w:rsidR="00157EC6" w:rsidRDefault="00157EC6">
      <w:pPr>
        <w:pStyle w:val="BodyText"/>
        <w:rPr>
          <w:i/>
          <w:sz w:val="20"/>
          <w:szCs w:val="20"/>
        </w:rPr>
        <w:sectPr w:rsidR="00157EC6">
          <w:pgSz w:w="12240" w:h="15840"/>
          <w:pgMar w:top="1440" w:right="1440" w:bottom="1440" w:left="1440" w:header="720" w:footer="720" w:gutter="0"/>
          <w:cols w:space="720"/>
        </w:sectPr>
      </w:pPr>
    </w:p>
    <w:p w:rsidR="008A464E" w:rsidRPr="00A31D37" w:rsidRDefault="008A464E">
      <w:pPr>
        <w:pStyle w:val="BodyText"/>
        <w:rPr>
          <w:i/>
          <w:sz w:val="20"/>
          <w:szCs w:val="20"/>
        </w:rPr>
      </w:pPr>
    </w:p>
    <w:tbl>
      <w:tblPr>
        <w:tblW w:w="11640" w:type="dxa"/>
        <w:tblInd w:w="108" w:type="dxa"/>
        <w:tblLook w:val="04A0" w:firstRow="1" w:lastRow="0" w:firstColumn="1" w:lastColumn="0" w:noHBand="0" w:noVBand="1"/>
      </w:tblPr>
      <w:tblGrid>
        <w:gridCol w:w="1540"/>
        <w:gridCol w:w="1450"/>
        <w:gridCol w:w="1450"/>
        <w:gridCol w:w="1680"/>
        <w:gridCol w:w="1680"/>
        <w:gridCol w:w="960"/>
        <w:gridCol w:w="960"/>
        <w:gridCol w:w="960"/>
        <w:gridCol w:w="960"/>
      </w:tblGrid>
      <w:tr w:rsidR="00157EC6" w:rsidRPr="00157EC6" w:rsidTr="00157EC6">
        <w:trPr>
          <w:trHeight w:val="300"/>
        </w:trPr>
        <w:tc>
          <w:tcPr>
            <w:tcW w:w="1540" w:type="dxa"/>
            <w:tcBorders>
              <w:top w:val="nil"/>
              <w:left w:val="nil"/>
              <w:bottom w:val="nil"/>
              <w:right w:val="nil"/>
            </w:tcBorders>
            <w:shd w:val="clear" w:color="auto" w:fill="auto"/>
            <w:noWrap/>
            <w:vAlign w:val="bottom"/>
            <w:hideMark/>
          </w:tcPr>
          <w:p w:rsidR="00157EC6" w:rsidRPr="00157EC6" w:rsidRDefault="00157EC6" w:rsidP="00157EC6">
            <w:pPr>
              <w:spacing w:after="0"/>
              <w:rPr>
                <w:rFonts w:ascii="Times New Roman" w:eastAsia="Times New Roman" w:hAnsi="Times New Roman" w:cs="Times New Roman"/>
              </w:rPr>
            </w:pPr>
          </w:p>
        </w:tc>
        <w:tc>
          <w:tcPr>
            <w:tcW w:w="2900" w:type="dxa"/>
            <w:gridSpan w:val="2"/>
            <w:tcBorders>
              <w:top w:val="nil"/>
              <w:left w:val="single" w:sz="4" w:space="0" w:color="auto"/>
              <w:bottom w:val="nil"/>
              <w:right w:val="single" w:sz="4" w:space="0" w:color="000000"/>
            </w:tcBorders>
            <w:shd w:val="clear" w:color="auto" w:fill="auto"/>
            <w:noWrap/>
            <w:vAlign w:val="bottom"/>
            <w:hideMark/>
          </w:tcPr>
          <w:p w:rsidR="00157EC6" w:rsidRPr="00157EC6" w:rsidRDefault="00157EC6" w:rsidP="00157EC6">
            <w:pPr>
              <w:spacing w:after="0"/>
              <w:jc w:val="center"/>
              <w:rPr>
                <w:rFonts w:ascii="Calibri" w:eastAsia="Times New Roman" w:hAnsi="Calibri" w:cs="Calibri"/>
                <w:b/>
                <w:bCs/>
                <w:color w:val="000000"/>
                <w:sz w:val="22"/>
                <w:szCs w:val="22"/>
              </w:rPr>
            </w:pPr>
            <w:r w:rsidRPr="00157EC6">
              <w:rPr>
                <w:rFonts w:ascii="Calibri" w:eastAsia="Times New Roman" w:hAnsi="Calibri" w:cs="Calibri"/>
                <w:b/>
                <w:bCs/>
                <w:color w:val="000000"/>
                <w:sz w:val="22"/>
                <w:szCs w:val="22"/>
              </w:rPr>
              <w:t>Tree Density (individuals/ha)</w:t>
            </w:r>
          </w:p>
        </w:tc>
        <w:tc>
          <w:tcPr>
            <w:tcW w:w="3360" w:type="dxa"/>
            <w:gridSpan w:val="2"/>
            <w:tcBorders>
              <w:top w:val="nil"/>
              <w:left w:val="nil"/>
              <w:bottom w:val="nil"/>
              <w:right w:val="nil"/>
            </w:tcBorders>
            <w:shd w:val="clear" w:color="auto" w:fill="auto"/>
            <w:noWrap/>
            <w:vAlign w:val="bottom"/>
            <w:hideMark/>
          </w:tcPr>
          <w:p w:rsidR="00157EC6" w:rsidRPr="00157EC6" w:rsidRDefault="00157EC6" w:rsidP="00157EC6">
            <w:pPr>
              <w:spacing w:after="0"/>
              <w:jc w:val="center"/>
              <w:rPr>
                <w:rFonts w:ascii="Calibri" w:eastAsia="Times New Roman" w:hAnsi="Calibri" w:cs="Calibri"/>
                <w:b/>
                <w:bCs/>
                <w:color w:val="000000"/>
                <w:sz w:val="22"/>
                <w:szCs w:val="22"/>
              </w:rPr>
            </w:pPr>
            <w:r w:rsidRPr="00157EC6">
              <w:rPr>
                <w:rFonts w:ascii="Calibri" w:eastAsia="Times New Roman" w:hAnsi="Calibri" w:cs="Calibri"/>
                <w:b/>
                <w:bCs/>
                <w:color w:val="000000"/>
                <w:sz w:val="22"/>
                <w:szCs w:val="22"/>
              </w:rPr>
              <w:t>Mortality Density (individuals/ha)</w:t>
            </w:r>
          </w:p>
        </w:tc>
        <w:tc>
          <w:tcPr>
            <w:tcW w:w="1920" w:type="dxa"/>
            <w:gridSpan w:val="2"/>
            <w:tcBorders>
              <w:top w:val="nil"/>
              <w:left w:val="single" w:sz="4" w:space="0" w:color="auto"/>
              <w:bottom w:val="nil"/>
              <w:right w:val="single" w:sz="4" w:space="0" w:color="000000"/>
            </w:tcBorders>
            <w:shd w:val="clear" w:color="auto" w:fill="auto"/>
            <w:noWrap/>
            <w:vAlign w:val="bottom"/>
            <w:hideMark/>
          </w:tcPr>
          <w:p w:rsidR="00157EC6" w:rsidRPr="00157EC6" w:rsidRDefault="00157EC6" w:rsidP="00157EC6">
            <w:pPr>
              <w:spacing w:after="0"/>
              <w:jc w:val="center"/>
              <w:rPr>
                <w:rFonts w:ascii="Calibri" w:eastAsia="Times New Roman" w:hAnsi="Calibri" w:cs="Calibri"/>
                <w:b/>
                <w:bCs/>
                <w:color w:val="000000"/>
                <w:sz w:val="22"/>
                <w:szCs w:val="22"/>
              </w:rPr>
            </w:pPr>
            <w:r w:rsidRPr="00157EC6">
              <w:rPr>
                <w:rFonts w:ascii="Calibri" w:eastAsia="Times New Roman" w:hAnsi="Calibri" w:cs="Calibri"/>
                <w:b/>
                <w:bCs/>
                <w:color w:val="000000"/>
                <w:sz w:val="22"/>
                <w:szCs w:val="22"/>
              </w:rPr>
              <w:t>Mean DBH (cm)</w:t>
            </w:r>
          </w:p>
        </w:tc>
        <w:tc>
          <w:tcPr>
            <w:tcW w:w="1920" w:type="dxa"/>
            <w:gridSpan w:val="2"/>
            <w:tcBorders>
              <w:top w:val="nil"/>
              <w:left w:val="nil"/>
              <w:bottom w:val="nil"/>
              <w:right w:val="nil"/>
            </w:tcBorders>
            <w:shd w:val="clear" w:color="auto" w:fill="auto"/>
            <w:noWrap/>
            <w:vAlign w:val="bottom"/>
            <w:hideMark/>
          </w:tcPr>
          <w:p w:rsidR="00157EC6" w:rsidRPr="00157EC6" w:rsidRDefault="00157EC6" w:rsidP="00157EC6">
            <w:pPr>
              <w:spacing w:after="0"/>
              <w:jc w:val="center"/>
              <w:rPr>
                <w:rFonts w:ascii="Calibri" w:eastAsia="Times New Roman" w:hAnsi="Calibri" w:cs="Calibri"/>
                <w:b/>
                <w:bCs/>
                <w:color w:val="000000"/>
                <w:sz w:val="22"/>
                <w:szCs w:val="22"/>
              </w:rPr>
            </w:pPr>
            <w:r w:rsidRPr="00157EC6">
              <w:rPr>
                <w:rFonts w:ascii="Calibri" w:eastAsia="Times New Roman" w:hAnsi="Calibri" w:cs="Calibri"/>
                <w:b/>
                <w:bCs/>
                <w:color w:val="000000"/>
                <w:sz w:val="22"/>
                <w:szCs w:val="22"/>
              </w:rPr>
              <w:t>Max DBH (cm)</w:t>
            </w:r>
          </w:p>
        </w:tc>
      </w:tr>
      <w:tr w:rsidR="00157EC6" w:rsidRPr="00157EC6" w:rsidTr="00157EC6">
        <w:trPr>
          <w:trHeight w:val="300"/>
        </w:trPr>
        <w:tc>
          <w:tcPr>
            <w:tcW w:w="1540" w:type="dxa"/>
            <w:tcBorders>
              <w:top w:val="nil"/>
              <w:left w:val="nil"/>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b/>
                <w:bCs/>
                <w:color w:val="000000"/>
                <w:sz w:val="22"/>
                <w:szCs w:val="22"/>
              </w:rPr>
            </w:pPr>
            <w:r w:rsidRPr="00157EC6">
              <w:rPr>
                <w:rFonts w:ascii="Calibri" w:eastAsia="Times New Roman" w:hAnsi="Calibri" w:cs="Calibri"/>
                <w:b/>
                <w:bCs/>
                <w:color w:val="000000"/>
                <w:sz w:val="22"/>
                <w:szCs w:val="22"/>
              </w:rPr>
              <w:t>Stand</w:t>
            </w:r>
          </w:p>
        </w:tc>
        <w:tc>
          <w:tcPr>
            <w:tcW w:w="1450" w:type="dxa"/>
            <w:tcBorders>
              <w:top w:val="single" w:sz="4" w:space="0" w:color="auto"/>
              <w:left w:val="single" w:sz="4" w:space="0" w:color="auto"/>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1999</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2013</w:t>
            </w:r>
          </w:p>
        </w:tc>
        <w:tc>
          <w:tcPr>
            <w:tcW w:w="1680" w:type="dxa"/>
            <w:tcBorders>
              <w:top w:val="single" w:sz="4" w:space="0" w:color="auto"/>
              <w:left w:val="nil"/>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1999</w:t>
            </w:r>
          </w:p>
        </w:tc>
        <w:tc>
          <w:tcPr>
            <w:tcW w:w="1680" w:type="dxa"/>
            <w:tcBorders>
              <w:top w:val="single" w:sz="4" w:space="0" w:color="auto"/>
              <w:left w:val="nil"/>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2013</w:t>
            </w: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1999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2013</w:t>
            </w:r>
          </w:p>
        </w:tc>
        <w:tc>
          <w:tcPr>
            <w:tcW w:w="960" w:type="dxa"/>
            <w:tcBorders>
              <w:top w:val="single" w:sz="4" w:space="0" w:color="auto"/>
              <w:left w:val="nil"/>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1999</w:t>
            </w:r>
          </w:p>
        </w:tc>
        <w:tc>
          <w:tcPr>
            <w:tcW w:w="960" w:type="dxa"/>
            <w:tcBorders>
              <w:top w:val="single" w:sz="4" w:space="0" w:color="auto"/>
              <w:left w:val="nil"/>
              <w:bottom w:val="single" w:sz="4" w:space="0" w:color="auto"/>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i/>
                <w:iCs/>
                <w:color w:val="000000"/>
                <w:sz w:val="22"/>
                <w:szCs w:val="22"/>
              </w:rPr>
            </w:pPr>
            <w:r w:rsidRPr="00157EC6">
              <w:rPr>
                <w:rFonts w:ascii="Calibri" w:eastAsia="Times New Roman" w:hAnsi="Calibri" w:cs="Calibri"/>
                <w:i/>
                <w:iCs/>
                <w:color w:val="000000"/>
                <w:sz w:val="22"/>
                <w:szCs w:val="22"/>
              </w:rPr>
              <w:t>2013</w:t>
            </w:r>
          </w:p>
        </w:tc>
      </w:tr>
      <w:tr w:rsidR="00157EC6" w:rsidRPr="00157EC6" w:rsidTr="00157EC6">
        <w:trPr>
          <w:trHeight w:val="300"/>
        </w:trPr>
        <w:tc>
          <w:tcPr>
            <w:tcW w:w="1540" w:type="dxa"/>
            <w:tcBorders>
              <w:top w:val="nil"/>
              <w:left w:val="nil"/>
              <w:bottom w:val="nil"/>
              <w:right w:val="nil"/>
            </w:tcBorders>
            <w:shd w:val="clear" w:color="auto" w:fill="auto"/>
            <w:noWrap/>
            <w:vAlign w:val="bottom"/>
            <w:hideMark/>
          </w:tcPr>
          <w:p w:rsidR="00157EC6" w:rsidRPr="00157EC6" w:rsidRDefault="00157EC6" w:rsidP="00157EC6">
            <w:pPr>
              <w:spacing w:after="0"/>
              <w:rPr>
                <w:rFonts w:ascii="Calibri" w:eastAsia="Times New Roman" w:hAnsi="Calibri" w:cs="Calibri"/>
                <w:color w:val="000000"/>
                <w:sz w:val="22"/>
                <w:szCs w:val="22"/>
              </w:rPr>
            </w:pPr>
            <w:r w:rsidRPr="00157EC6">
              <w:rPr>
                <w:rFonts w:ascii="Calibri" w:eastAsia="Times New Roman" w:hAnsi="Calibri" w:cs="Calibri"/>
                <w:color w:val="000000"/>
                <w:sz w:val="22"/>
                <w:szCs w:val="22"/>
              </w:rPr>
              <w:t>Caffey Hill</w:t>
            </w:r>
          </w:p>
        </w:tc>
        <w:tc>
          <w:tcPr>
            <w:tcW w:w="1450" w:type="dxa"/>
            <w:tcBorders>
              <w:top w:val="nil"/>
              <w:left w:val="single" w:sz="4" w:space="0" w:color="auto"/>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294</w:t>
            </w:r>
          </w:p>
        </w:tc>
        <w:tc>
          <w:tcPr>
            <w:tcW w:w="1450" w:type="dxa"/>
            <w:tcBorders>
              <w:top w:val="nil"/>
              <w:left w:val="nil"/>
              <w:bottom w:val="nil"/>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476.7</w:t>
            </w:r>
          </w:p>
        </w:tc>
        <w:tc>
          <w:tcPr>
            <w:tcW w:w="168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w:t>
            </w:r>
          </w:p>
        </w:tc>
        <w:tc>
          <w:tcPr>
            <w:tcW w:w="168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77.3</w:t>
            </w:r>
          </w:p>
        </w:tc>
        <w:tc>
          <w:tcPr>
            <w:tcW w:w="960" w:type="dxa"/>
            <w:tcBorders>
              <w:top w:val="nil"/>
              <w:left w:val="single" w:sz="4" w:space="0" w:color="auto"/>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14.5</w:t>
            </w:r>
          </w:p>
        </w:tc>
        <w:tc>
          <w:tcPr>
            <w:tcW w:w="960" w:type="dxa"/>
            <w:tcBorders>
              <w:top w:val="nil"/>
              <w:left w:val="nil"/>
              <w:bottom w:val="nil"/>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14.3</w:t>
            </w:r>
          </w:p>
        </w:tc>
        <w:tc>
          <w:tcPr>
            <w:tcW w:w="96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55</w:t>
            </w:r>
          </w:p>
        </w:tc>
        <w:tc>
          <w:tcPr>
            <w:tcW w:w="96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56</w:t>
            </w:r>
          </w:p>
        </w:tc>
      </w:tr>
      <w:tr w:rsidR="00157EC6" w:rsidRPr="00157EC6" w:rsidTr="00157EC6">
        <w:trPr>
          <w:trHeight w:val="300"/>
        </w:trPr>
        <w:tc>
          <w:tcPr>
            <w:tcW w:w="1540" w:type="dxa"/>
            <w:tcBorders>
              <w:top w:val="nil"/>
              <w:left w:val="nil"/>
              <w:bottom w:val="nil"/>
              <w:right w:val="nil"/>
            </w:tcBorders>
            <w:shd w:val="clear" w:color="auto" w:fill="auto"/>
            <w:noWrap/>
            <w:vAlign w:val="bottom"/>
            <w:hideMark/>
          </w:tcPr>
          <w:p w:rsidR="00157EC6" w:rsidRPr="00157EC6" w:rsidRDefault="00157EC6" w:rsidP="00157EC6">
            <w:pPr>
              <w:spacing w:after="0"/>
              <w:rPr>
                <w:rFonts w:ascii="Calibri" w:eastAsia="Times New Roman" w:hAnsi="Calibri" w:cs="Calibri"/>
                <w:color w:val="000000"/>
                <w:sz w:val="22"/>
                <w:szCs w:val="22"/>
              </w:rPr>
            </w:pPr>
            <w:r w:rsidRPr="00157EC6">
              <w:rPr>
                <w:rFonts w:ascii="Calibri" w:eastAsia="Times New Roman" w:hAnsi="Calibri" w:cs="Calibri"/>
                <w:color w:val="000000"/>
                <w:sz w:val="22"/>
                <w:szCs w:val="22"/>
              </w:rPr>
              <w:t>Red-Tail Ridge</w:t>
            </w:r>
          </w:p>
        </w:tc>
        <w:tc>
          <w:tcPr>
            <w:tcW w:w="1450" w:type="dxa"/>
            <w:tcBorders>
              <w:top w:val="nil"/>
              <w:left w:val="single" w:sz="4" w:space="0" w:color="auto"/>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268.3</w:t>
            </w:r>
          </w:p>
        </w:tc>
        <w:tc>
          <w:tcPr>
            <w:tcW w:w="1450" w:type="dxa"/>
            <w:tcBorders>
              <w:top w:val="nil"/>
              <w:left w:val="nil"/>
              <w:bottom w:val="nil"/>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275</w:t>
            </w:r>
          </w:p>
        </w:tc>
        <w:tc>
          <w:tcPr>
            <w:tcW w:w="168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5.6</w:t>
            </w:r>
          </w:p>
        </w:tc>
        <w:tc>
          <w:tcPr>
            <w:tcW w:w="168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40</w:t>
            </w:r>
          </w:p>
        </w:tc>
        <w:tc>
          <w:tcPr>
            <w:tcW w:w="960" w:type="dxa"/>
            <w:tcBorders>
              <w:top w:val="nil"/>
              <w:left w:val="single" w:sz="4" w:space="0" w:color="auto"/>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20.3</w:t>
            </w:r>
          </w:p>
        </w:tc>
        <w:tc>
          <w:tcPr>
            <w:tcW w:w="960" w:type="dxa"/>
            <w:tcBorders>
              <w:top w:val="nil"/>
              <w:left w:val="nil"/>
              <w:bottom w:val="nil"/>
              <w:right w:val="single" w:sz="4" w:space="0" w:color="auto"/>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24.1</w:t>
            </w:r>
          </w:p>
        </w:tc>
        <w:tc>
          <w:tcPr>
            <w:tcW w:w="96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71</w:t>
            </w:r>
          </w:p>
        </w:tc>
        <w:tc>
          <w:tcPr>
            <w:tcW w:w="960" w:type="dxa"/>
            <w:tcBorders>
              <w:top w:val="nil"/>
              <w:left w:val="nil"/>
              <w:bottom w:val="nil"/>
              <w:right w:val="nil"/>
            </w:tcBorders>
            <w:shd w:val="clear" w:color="auto" w:fill="auto"/>
            <w:noWrap/>
            <w:vAlign w:val="bottom"/>
            <w:hideMark/>
          </w:tcPr>
          <w:p w:rsidR="00157EC6" w:rsidRPr="00157EC6" w:rsidRDefault="00157EC6" w:rsidP="00157EC6">
            <w:pPr>
              <w:spacing w:after="0"/>
              <w:jc w:val="right"/>
              <w:rPr>
                <w:rFonts w:ascii="Calibri" w:eastAsia="Times New Roman" w:hAnsi="Calibri" w:cs="Calibri"/>
                <w:color w:val="000000"/>
                <w:sz w:val="22"/>
                <w:szCs w:val="22"/>
              </w:rPr>
            </w:pPr>
            <w:r w:rsidRPr="00157EC6">
              <w:rPr>
                <w:rFonts w:ascii="Calibri" w:eastAsia="Times New Roman" w:hAnsi="Calibri" w:cs="Calibri"/>
                <w:color w:val="000000"/>
                <w:sz w:val="22"/>
                <w:szCs w:val="22"/>
              </w:rPr>
              <w:t>62</w:t>
            </w:r>
          </w:p>
        </w:tc>
      </w:tr>
    </w:tbl>
    <w:p w:rsidR="008A464E" w:rsidRDefault="004456A7">
      <w:pPr>
        <w:pStyle w:val="BodyText"/>
        <w:rPr>
          <w:i/>
          <w:sz w:val="20"/>
          <w:szCs w:val="20"/>
        </w:rPr>
      </w:pPr>
      <w:r w:rsidRPr="00A31D37">
        <w:rPr>
          <w:i/>
          <w:sz w:val="20"/>
          <w:szCs w:val="20"/>
        </w:rPr>
        <w:t>Table 2: Statistics for tree features for both stands.</w:t>
      </w:r>
    </w:p>
    <w:p w:rsidR="00157EC6" w:rsidRDefault="00157EC6">
      <w:pPr>
        <w:pStyle w:val="BodyText"/>
        <w:rPr>
          <w:i/>
          <w:sz w:val="20"/>
          <w:szCs w:val="20"/>
        </w:rPr>
      </w:pPr>
      <w:r>
        <w:rPr>
          <w:i/>
          <w:sz w:val="20"/>
          <w:szCs w:val="20"/>
        </w:rPr>
        <w:br w:type="page"/>
      </w:r>
    </w:p>
    <w:p w:rsidR="00157EC6" w:rsidRDefault="00157EC6">
      <w:pPr>
        <w:pStyle w:val="BodyText"/>
        <w:rPr>
          <w:i/>
          <w:sz w:val="20"/>
          <w:szCs w:val="20"/>
        </w:rPr>
        <w:sectPr w:rsidR="00157EC6" w:rsidSect="00157EC6">
          <w:pgSz w:w="15840" w:h="12240" w:orient="landscape"/>
          <w:pgMar w:top="1440" w:right="1440" w:bottom="1440" w:left="1440" w:header="720" w:footer="720" w:gutter="0"/>
          <w:cols w:space="720"/>
        </w:sectPr>
      </w:pPr>
    </w:p>
    <w:p w:rsidR="00157EC6" w:rsidRPr="00A31D37" w:rsidRDefault="00157EC6">
      <w:pPr>
        <w:pStyle w:val="BodyText"/>
        <w:rPr>
          <w:i/>
          <w:sz w:val="20"/>
          <w:szCs w:val="20"/>
        </w:rPr>
      </w:pPr>
      <w:bookmarkStart w:id="3" w:name="_GoBack"/>
      <w:bookmarkEnd w:id="3"/>
    </w:p>
    <w:tbl>
      <w:tblPr>
        <w:tblW w:w="5840" w:type="dxa"/>
        <w:tblInd w:w="108" w:type="dxa"/>
        <w:tblLook w:val="04A0" w:firstRow="1" w:lastRow="0" w:firstColumn="1" w:lastColumn="0" w:noHBand="0" w:noVBand="1"/>
      </w:tblPr>
      <w:tblGrid>
        <w:gridCol w:w="960"/>
        <w:gridCol w:w="1420"/>
        <w:gridCol w:w="1620"/>
        <w:gridCol w:w="1840"/>
      </w:tblGrid>
      <w:tr w:rsidR="00CF050A" w:rsidRPr="00CF050A" w:rsidTr="00CF050A">
        <w:trPr>
          <w:trHeight w:val="300"/>
        </w:trPr>
        <w:tc>
          <w:tcPr>
            <w:tcW w:w="96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rPr>
                <w:rFonts w:ascii="Calibri" w:eastAsia="Times New Roman" w:hAnsi="Calibri" w:cs="Calibri"/>
                <w:b/>
                <w:bCs/>
                <w:color w:val="000000"/>
                <w:sz w:val="22"/>
                <w:szCs w:val="22"/>
              </w:rPr>
            </w:pPr>
            <w:r w:rsidRPr="00CF050A">
              <w:rPr>
                <w:rFonts w:ascii="Calibri" w:eastAsia="Times New Roman" w:hAnsi="Calibri" w:cs="Calibri"/>
                <w:b/>
                <w:bCs/>
                <w:color w:val="000000"/>
                <w:sz w:val="22"/>
                <w:szCs w:val="22"/>
              </w:rPr>
              <w:t>Stand</w:t>
            </w:r>
          </w:p>
        </w:tc>
        <w:tc>
          <w:tcPr>
            <w:tcW w:w="142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b/>
                <w:bCs/>
                <w:color w:val="000000"/>
                <w:sz w:val="22"/>
                <w:szCs w:val="22"/>
              </w:rPr>
            </w:pPr>
            <w:r>
              <w:rPr>
                <w:rFonts w:ascii="Calibri" w:eastAsia="Times New Roman" w:hAnsi="Calibri" w:cs="Calibri"/>
                <w:b/>
                <w:bCs/>
                <w:color w:val="000000"/>
                <w:sz w:val="22"/>
                <w:szCs w:val="22"/>
              </w:rPr>
              <w:t>Distance</w:t>
            </w:r>
          </w:p>
        </w:tc>
        <w:tc>
          <w:tcPr>
            <w:tcW w:w="162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b/>
                <w:bCs/>
                <w:color w:val="000000"/>
                <w:sz w:val="22"/>
                <w:szCs w:val="22"/>
              </w:rPr>
            </w:pPr>
            <w:r w:rsidRPr="00CF050A">
              <w:rPr>
                <w:rFonts w:ascii="Calibri" w:eastAsia="Times New Roman" w:hAnsi="Calibri" w:cs="Calibri"/>
                <w:b/>
                <w:bCs/>
                <w:color w:val="000000"/>
                <w:sz w:val="22"/>
                <w:szCs w:val="22"/>
              </w:rPr>
              <w:t>Observed K</w:t>
            </w:r>
          </w:p>
        </w:tc>
        <w:tc>
          <w:tcPr>
            <w:tcW w:w="184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b/>
                <w:bCs/>
                <w:color w:val="000000"/>
                <w:sz w:val="22"/>
                <w:szCs w:val="22"/>
              </w:rPr>
            </w:pPr>
            <w:r w:rsidRPr="00CF050A">
              <w:rPr>
                <w:rFonts w:ascii="Calibri" w:eastAsia="Times New Roman" w:hAnsi="Calibri" w:cs="Calibri"/>
                <w:b/>
                <w:bCs/>
                <w:color w:val="000000"/>
                <w:sz w:val="22"/>
                <w:szCs w:val="22"/>
              </w:rPr>
              <w:t>Difference in K</w:t>
            </w:r>
          </w:p>
        </w:tc>
      </w:tr>
      <w:tr w:rsidR="00CF050A" w:rsidRPr="00CF050A" w:rsidTr="00707CE5">
        <w:trPr>
          <w:trHeight w:val="300"/>
        </w:trPr>
        <w:tc>
          <w:tcPr>
            <w:tcW w:w="960" w:type="dxa"/>
            <w:vMerge w:val="restart"/>
            <w:tcBorders>
              <w:top w:val="nil"/>
              <w:left w:val="nil"/>
              <w:bottom w:val="single" w:sz="4" w:space="0" w:color="000000"/>
              <w:right w:val="nil"/>
            </w:tcBorders>
            <w:shd w:val="clear" w:color="auto" w:fill="auto"/>
            <w:noWrap/>
            <w:textDirection w:val="btLr"/>
            <w:vAlign w:val="bottom"/>
            <w:hideMark/>
          </w:tcPr>
          <w:p w:rsidR="00CF050A" w:rsidRPr="00CF050A" w:rsidRDefault="00CF050A" w:rsidP="00CF050A">
            <w:pPr>
              <w:spacing w:after="0"/>
              <w:jc w:val="center"/>
              <w:rPr>
                <w:rFonts w:ascii="Calibri" w:eastAsia="Times New Roman" w:hAnsi="Calibri" w:cs="Calibri"/>
                <w:color w:val="000000"/>
                <w:sz w:val="22"/>
                <w:szCs w:val="22"/>
              </w:rPr>
            </w:pPr>
            <w:r w:rsidRPr="00CF050A">
              <w:rPr>
                <w:rFonts w:ascii="Calibri" w:eastAsia="Times New Roman" w:hAnsi="Calibri" w:cs="Calibri"/>
                <w:color w:val="000000"/>
                <w:sz w:val="22"/>
                <w:szCs w:val="22"/>
              </w:rPr>
              <w:t>Caffey Hill</w:t>
            </w: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22.947018</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35.97</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13.022981</w:t>
            </w:r>
          </w:p>
        </w:tc>
      </w:tr>
      <w:tr w:rsidR="00CF050A" w:rsidRPr="00CF050A" w:rsidTr="00707CE5">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45.894037</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61.944013</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16.049976</w:t>
            </w:r>
          </w:p>
        </w:tc>
      </w:tr>
      <w:tr w:rsidR="00CF050A" w:rsidRPr="00CF050A" w:rsidTr="00707CE5">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68.841055</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82.127146</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13.286091</w:t>
            </w:r>
          </w:p>
        </w:tc>
      </w:tr>
      <w:tr w:rsidR="00CF050A" w:rsidRPr="00CF050A" w:rsidTr="00707CE5">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91.788073</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98.857081</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7.069008</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114.735091</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114.234686</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-0.500406</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137.68211</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129.296825</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-8.385284</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160.629128</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142.513821</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-18.115306</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183.576146</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153.999902</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-29.576244</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206.523164</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165.118225</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-41.404939</w:t>
            </w:r>
          </w:p>
        </w:tc>
      </w:tr>
      <w:tr w:rsidR="00CF050A" w:rsidRPr="00CF050A" w:rsidTr="00CF050A">
        <w:trPr>
          <w:trHeight w:val="300"/>
        </w:trPr>
        <w:tc>
          <w:tcPr>
            <w:tcW w:w="960" w:type="dxa"/>
            <w:vMerge/>
            <w:tcBorders>
              <w:top w:val="nil"/>
              <w:left w:val="nil"/>
              <w:bottom w:val="single" w:sz="4" w:space="0" w:color="000000"/>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229.470183</w:t>
            </w:r>
          </w:p>
        </w:tc>
        <w:tc>
          <w:tcPr>
            <w:tcW w:w="162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175.559047</w:t>
            </w:r>
          </w:p>
        </w:tc>
        <w:tc>
          <w:tcPr>
            <w:tcW w:w="1840" w:type="dxa"/>
            <w:tcBorders>
              <w:top w:val="nil"/>
              <w:left w:val="nil"/>
              <w:bottom w:val="single" w:sz="4" w:space="0" w:color="auto"/>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-53.911135</w:t>
            </w:r>
          </w:p>
        </w:tc>
      </w:tr>
      <w:tr w:rsidR="00CF050A" w:rsidRPr="00CF050A" w:rsidTr="00707CE5">
        <w:trPr>
          <w:trHeight w:val="300"/>
        </w:trPr>
        <w:tc>
          <w:tcPr>
            <w:tcW w:w="960" w:type="dxa"/>
            <w:vMerge w:val="restart"/>
            <w:tcBorders>
              <w:top w:val="nil"/>
              <w:left w:val="nil"/>
              <w:bottom w:val="nil"/>
              <w:right w:val="nil"/>
            </w:tcBorders>
            <w:shd w:val="clear" w:color="auto" w:fill="auto"/>
            <w:noWrap/>
            <w:textDirection w:val="btLr"/>
            <w:vAlign w:val="bottom"/>
            <w:hideMark/>
          </w:tcPr>
          <w:p w:rsidR="00CF050A" w:rsidRPr="00CF050A" w:rsidRDefault="00CF050A" w:rsidP="00CF050A">
            <w:pPr>
              <w:spacing w:after="0"/>
              <w:jc w:val="center"/>
              <w:rPr>
                <w:rFonts w:ascii="Calibri" w:eastAsia="Times New Roman" w:hAnsi="Calibri" w:cs="Calibri"/>
                <w:color w:val="000000"/>
                <w:sz w:val="22"/>
                <w:szCs w:val="22"/>
              </w:rPr>
            </w:pPr>
            <w:r w:rsidRPr="00CF050A">
              <w:rPr>
                <w:rFonts w:ascii="Calibri" w:eastAsia="Times New Roman" w:hAnsi="Calibri" w:cs="Calibri"/>
                <w:color w:val="000000"/>
                <w:sz w:val="22"/>
                <w:szCs w:val="22"/>
              </w:rPr>
              <w:t>Red-Tail Ridge</w:t>
            </w: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19.971536</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26.562346</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6.59081</w:t>
            </w:r>
          </w:p>
        </w:tc>
      </w:tr>
      <w:tr w:rsidR="00CF050A" w:rsidRPr="00CF050A" w:rsidTr="00707CE5">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39.943072</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45.475438</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5.532366</w:t>
            </w:r>
          </w:p>
        </w:tc>
      </w:tr>
      <w:tr w:rsidR="00CF050A" w:rsidRPr="00CF050A" w:rsidTr="00707CE5">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59.914609</w:t>
            </w:r>
          </w:p>
        </w:tc>
        <w:tc>
          <w:tcPr>
            <w:tcW w:w="162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62.715902</w:t>
            </w:r>
          </w:p>
        </w:tc>
        <w:tc>
          <w:tcPr>
            <w:tcW w:w="1840" w:type="dxa"/>
            <w:tcBorders>
              <w:top w:val="nil"/>
              <w:left w:val="nil"/>
              <w:bottom w:val="nil"/>
              <w:right w:val="nil"/>
            </w:tcBorders>
            <w:shd w:val="clear" w:color="auto" w:fill="D9D9D9" w:themeFill="background1" w:themeFillShade="D9"/>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2.801293</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79.886145</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79.941062</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0.054917</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99.857681</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97.450764</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-2.406917</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119.829217</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113.840079</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-5.989138</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139.800753</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130.688082</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-9.112671</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159.77229</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145.181053</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-14.591237</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179.743826</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157.840122</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-21.903704</w:t>
            </w:r>
          </w:p>
        </w:tc>
      </w:tr>
      <w:tr w:rsidR="00CF050A" w:rsidRPr="00CF050A" w:rsidTr="00CF050A">
        <w:trPr>
          <w:trHeight w:val="300"/>
        </w:trPr>
        <w:tc>
          <w:tcPr>
            <w:tcW w:w="960" w:type="dxa"/>
            <w:vMerge/>
            <w:tcBorders>
              <w:top w:val="nil"/>
              <w:left w:val="nil"/>
              <w:bottom w:val="nil"/>
              <w:right w:val="nil"/>
            </w:tcBorders>
            <w:vAlign w:val="center"/>
            <w:hideMark/>
          </w:tcPr>
          <w:p w:rsidR="00CF050A" w:rsidRPr="00CF050A" w:rsidRDefault="00CF050A" w:rsidP="00CF050A">
            <w:pPr>
              <w:spacing w:after="0"/>
              <w:rPr>
                <w:rFonts w:ascii="Calibri" w:eastAsia="Times New Roman" w:hAnsi="Calibri" w:cs="Calibri"/>
                <w:color w:val="000000"/>
                <w:sz w:val="22"/>
                <w:szCs w:val="22"/>
              </w:rPr>
            </w:pPr>
          </w:p>
        </w:tc>
        <w:tc>
          <w:tcPr>
            <w:tcW w:w="1420" w:type="dxa"/>
            <w:tcBorders>
              <w:top w:val="nil"/>
              <w:left w:val="single" w:sz="4" w:space="0" w:color="auto"/>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199.715362</w:t>
            </w:r>
          </w:p>
        </w:tc>
        <w:tc>
          <w:tcPr>
            <w:tcW w:w="162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171.127792</w:t>
            </w:r>
          </w:p>
        </w:tc>
        <w:tc>
          <w:tcPr>
            <w:tcW w:w="1840" w:type="dxa"/>
            <w:tcBorders>
              <w:top w:val="nil"/>
              <w:left w:val="nil"/>
              <w:bottom w:val="nil"/>
              <w:right w:val="nil"/>
            </w:tcBorders>
            <w:shd w:val="clear" w:color="auto" w:fill="auto"/>
            <w:noWrap/>
            <w:vAlign w:val="bottom"/>
            <w:hideMark/>
          </w:tcPr>
          <w:p w:rsidR="00CF050A" w:rsidRPr="00CF050A" w:rsidRDefault="00CF050A" w:rsidP="00CF050A">
            <w:pPr>
              <w:spacing w:after="0"/>
              <w:jc w:val="right"/>
              <w:rPr>
                <w:rFonts w:ascii="Calibri" w:eastAsia="Times New Roman" w:hAnsi="Calibri" w:cs="Calibri"/>
                <w:color w:val="000000"/>
                <w:sz w:val="22"/>
                <w:szCs w:val="22"/>
              </w:rPr>
            </w:pPr>
            <w:r w:rsidRPr="00CF050A">
              <w:rPr>
                <w:rFonts w:ascii="Calibri" w:eastAsia="Times New Roman" w:hAnsi="Calibri" w:cs="Calibri"/>
                <w:color w:val="000000"/>
                <w:sz w:val="22"/>
                <w:szCs w:val="22"/>
              </w:rPr>
              <w:t>-28.58757</w:t>
            </w:r>
          </w:p>
        </w:tc>
      </w:tr>
    </w:tbl>
    <w:p w:rsidR="008A464E" w:rsidRPr="00A31D37" w:rsidRDefault="004456A7">
      <w:pPr>
        <w:pStyle w:val="BodyText"/>
        <w:rPr>
          <w:i/>
          <w:sz w:val="20"/>
          <w:szCs w:val="20"/>
        </w:rPr>
      </w:pPr>
      <w:r w:rsidRPr="00A31D37">
        <w:rPr>
          <w:i/>
          <w:sz w:val="20"/>
          <w:szCs w:val="20"/>
        </w:rPr>
        <w:t>Table 3: Results of Ripley's K(t) f</w:t>
      </w:r>
      <w:r w:rsidR="00CF050A">
        <w:rPr>
          <w:i/>
          <w:sz w:val="20"/>
          <w:szCs w:val="20"/>
        </w:rPr>
        <w:t xml:space="preserve">or both stands for trees with at least a </w:t>
      </w:r>
      <w:r w:rsidRPr="00A31D37">
        <w:rPr>
          <w:i/>
          <w:sz w:val="20"/>
          <w:szCs w:val="20"/>
        </w:rPr>
        <w:t>5 cm increase in DBH</w:t>
      </w:r>
      <w:r w:rsidR="00EC548A">
        <w:rPr>
          <w:i/>
          <w:sz w:val="20"/>
          <w:szCs w:val="20"/>
        </w:rPr>
        <w:t>, a break selected based on the results from figure 2</w:t>
      </w:r>
      <w:r w:rsidRPr="00A31D37">
        <w:rPr>
          <w:i/>
          <w:sz w:val="20"/>
          <w:szCs w:val="20"/>
        </w:rPr>
        <w:t>.</w:t>
      </w:r>
      <w:r w:rsidR="00707CE5">
        <w:rPr>
          <w:i/>
          <w:sz w:val="20"/>
          <w:szCs w:val="20"/>
        </w:rPr>
        <w:t xml:space="preserve"> Gray-shaded cells indicate clustering.</w:t>
      </w:r>
      <w:r w:rsidR="00CF050A">
        <w:rPr>
          <w:i/>
          <w:sz w:val="20"/>
          <w:szCs w:val="20"/>
        </w:rPr>
        <w:t xml:space="preserve"> Caffey Hill had much stronger clustering effects on its rapid-growth trees and the clustering was detectable at slightly larger scales than in Red-Tail Ridge</w:t>
      </w:r>
      <w:r w:rsidR="00EC548A">
        <w:rPr>
          <w:i/>
          <w:sz w:val="20"/>
          <w:szCs w:val="20"/>
        </w:rPr>
        <w:t>. The dispersion signal was also stronger in Caffey Hill beyond the inflection point (around 114 in Caffey Hill and 80 in Red-Tail Ridge)</w:t>
      </w:r>
    </w:p>
    <w:p w:rsidR="008A464E" w:rsidRDefault="004456A7">
      <w:pPr>
        <w:pStyle w:val="Heading2"/>
      </w:pPr>
      <w:bookmarkStart w:id="4" w:name="discussion"/>
      <w:bookmarkEnd w:id="4"/>
      <w:r>
        <w:t>Discussion</w:t>
      </w:r>
    </w:p>
    <w:p w:rsidR="008A464E" w:rsidRDefault="004456A7">
      <w:pPr>
        <w:pStyle w:val="FirstParagraph"/>
      </w:pPr>
      <w:r>
        <w:t>Based on the changes in DBH, it seems likely that the smallest trees in Caffey Hil</w:t>
      </w:r>
      <w:r>
        <w:t>l saw the greatest rate of increase in DBH, resulting in trees of smaller DBH classes making up a greater proportion of the population (Figures 1 and 2).</w:t>
      </w:r>
      <w:r w:rsidR="00EC548A">
        <w:t xml:space="preserve"> This pairs interestingly with the Ripley’s K(t) results from the two stands, which suggests that the rate of change in DBH wasn’t just potentially age-dependent but also spatially dependent (Table 3).</w:t>
      </w:r>
    </w:p>
    <w:p w:rsidR="007C1E2D" w:rsidRPr="007C1E2D" w:rsidRDefault="007C1E2D" w:rsidP="007C1E2D">
      <w:pPr>
        <w:pStyle w:val="BodyText"/>
      </w:pPr>
      <w:r>
        <w:t>Understanding why there was differential growth between size classes and spatially could be used to inform management decisions that promote the maintenance of healthy population distributions within stands rather than skewing the populations towards unsustainable makeups.</w:t>
      </w:r>
    </w:p>
    <w:p w:rsidR="00EC548A" w:rsidRDefault="00EC548A" w:rsidP="00EC548A">
      <w:pPr>
        <w:pStyle w:val="BodyText"/>
      </w:pPr>
      <w:r>
        <w:t>It is possible that these two patterns are getting at the same underlying principle. If recruitment is not evenly distributed and smaller, assumed to be you</w:t>
      </w:r>
      <w:r w:rsidR="00707CE5">
        <w:t xml:space="preserve">nger, trees show </w:t>
      </w:r>
      <w:r w:rsidR="00707CE5">
        <w:lastRenderedPageBreak/>
        <w:t>faster growth—</w:t>
      </w:r>
      <w:r>
        <w:t>which</w:t>
      </w:r>
      <w:r w:rsidR="00707CE5">
        <w:t>,</w:t>
      </w:r>
      <w:r>
        <w:t xml:space="preserve"> for a strongly pyrophytic species</w:t>
      </w:r>
      <w:r w:rsidR="00707CE5">
        <w:t xml:space="preserve"> adapted for rapid rebounds, would be intuitive—</w:t>
      </w:r>
      <w:r>
        <w:t>then these results would be expected.</w:t>
      </w:r>
    </w:p>
    <w:p w:rsidR="00EC548A" w:rsidRPr="00EC548A" w:rsidRDefault="00EC548A" w:rsidP="00EC548A">
      <w:pPr>
        <w:pStyle w:val="BodyText"/>
      </w:pPr>
      <w:r>
        <w:t xml:space="preserve">The data from this study have a few limitations. They come from two relatively small stands, which limits the generalizability of any conclusions. They seem to be of relatively high integrity, given how few obvious quality issues they have, but they did not come with metadata regarding the training of the crews collecting the data or the methods by which they were collected. A difference of 14 years in sampling </w:t>
      </w:r>
      <w:r w:rsidR="007C1E2D">
        <w:t>means that there is a significant chance of method drift or differences in training that could introduce non-sampling errors into the data.</w:t>
      </w:r>
    </w:p>
    <w:p w:rsidR="008A464E" w:rsidRDefault="004456A7">
      <w:pPr>
        <w:pStyle w:val="Heading2"/>
      </w:pPr>
      <w:bookmarkStart w:id="5" w:name="literature-cited"/>
      <w:bookmarkEnd w:id="5"/>
      <w:r>
        <w:t>Literature Cited</w:t>
      </w:r>
    </w:p>
    <w:p w:rsidR="007C1E2D" w:rsidRPr="007C1E2D" w:rsidRDefault="007C1E2D" w:rsidP="007C1E2D">
      <w:pPr>
        <w:pStyle w:val="BodyText"/>
        <w:ind w:left="720" w:hanging="720"/>
      </w:pPr>
      <w:r w:rsidRPr="007C1E2D">
        <w:t>J. Morgan Varner, III, Kush, J., &amp; Meldahl, R. (2003). Structural Characteristics of Frequently-Burned Old-Growth Longleaf Pine Stands in the Mountains of Alabama. Castanea, 68(3), 211-221.</w:t>
      </w:r>
    </w:p>
    <w:sectPr w:rsidR="007C1E2D" w:rsidRPr="007C1E2D" w:rsidSect="00157E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6A7" w:rsidRDefault="004456A7">
      <w:pPr>
        <w:spacing w:after="0"/>
      </w:pPr>
      <w:r>
        <w:separator/>
      </w:r>
    </w:p>
  </w:endnote>
  <w:endnote w:type="continuationSeparator" w:id="0">
    <w:p w:rsidR="004456A7" w:rsidRDefault="004456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6A7" w:rsidRDefault="004456A7">
      <w:r>
        <w:separator/>
      </w:r>
    </w:p>
  </w:footnote>
  <w:footnote w:type="continuationSeparator" w:id="0">
    <w:p w:rsidR="004456A7" w:rsidRDefault="00445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37EA4BB"/>
    <w:multiLevelType w:val="multilevel"/>
    <w:tmpl w:val="B6AA1BB6"/>
    <w:lvl w:ilvl="0">
      <w:start w:val="1"/>
      <w:numFmt w:val="decimal"/>
      <w:lvlText w:val="%1)"/>
      <w:lvlJc w:val="left"/>
      <w:pPr>
        <w:tabs>
          <w:tab w:val="num" w:pos="480"/>
        </w:tabs>
        <w:ind w:left="960" w:hanging="480"/>
      </w:p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9CE82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2415745"/>
    <w:multiLevelType w:val="multilevel"/>
    <w:tmpl w:val="CF1877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57EC6"/>
    <w:rsid w:val="004456A7"/>
    <w:rsid w:val="004E29B3"/>
    <w:rsid w:val="00590D07"/>
    <w:rsid w:val="00707CE5"/>
    <w:rsid w:val="00784D58"/>
    <w:rsid w:val="007C1E2D"/>
    <w:rsid w:val="008A464E"/>
    <w:rsid w:val="008D6863"/>
    <w:rsid w:val="00A31D37"/>
    <w:rsid w:val="00B86B75"/>
    <w:rsid w:val="00BC48D5"/>
    <w:rsid w:val="00C36279"/>
    <w:rsid w:val="00CF050A"/>
    <w:rsid w:val="00E315A3"/>
    <w:rsid w:val="00EC54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B31AF"/>
  <w15:docId w15:val="{F2B52612-83EB-441A-AD16-D5BE2263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5">
    <w:name w:val="Plain Table 5"/>
    <w:basedOn w:val="TableNormal"/>
    <w:rsid w:val="00A31D37"/>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2993">
      <w:bodyDiv w:val="1"/>
      <w:marLeft w:val="0"/>
      <w:marRight w:val="0"/>
      <w:marTop w:val="0"/>
      <w:marBottom w:val="0"/>
      <w:divBdr>
        <w:top w:val="none" w:sz="0" w:space="0" w:color="auto"/>
        <w:left w:val="none" w:sz="0" w:space="0" w:color="auto"/>
        <w:bottom w:val="none" w:sz="0" w:space="0" w:color="auto"/>
        <w:right w:val="none" w:sz="0" w:space="0" w:color="auto"/>
      </w:divBdr>
    </w:div>
    <w:div w:id="1184051218">
      <w:bodyDiv w:val="1"/>
      <w:marLeft w:val="0"/>
      <w:marRight w:val="0"/>
      <w:marTop w:val="0"/>
      <w:marBottom w:val="0"/>
      <w:divBdr>
        <w:top w:val="none" w:sz="0" w:space="0" w:color="auto"/>
        <w:left w:val="none" w:sz="0" w:space="0" w:color="auto"/>
        <w:bottom w:val="none" w:sz="0" w:space="0" w:color="auto"/>
        <w:right w:val="none" w:sz="0" w:space="0" w:color="auto"/>
      </w:divBdr>
    </w:div>
    <w:div w:id="1587030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Point Patterns</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Patterns</dc:title>
  <dc:creator>Nelson Stauffer</dc:creator>
  <cp:lastModifiedBy>Nelson</cp:lastModifiedBy>
  <cp:revision>3</cp:revision>
  <dcterms:created xsi:type="dcterms:W3CDTF">2018-04-06T23:03:00Z</dcterms:created>
  <dcterms:modified xsi:type="dcterms:W3CDTF">2018-04-07T00:02:00Z</dcterms:modified>
</cp:coreProperties>
</file>