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565C0"/>
          <w:sz w:val="48"/>
          <w:szCs w:val="48"/>
        </w:rPr>
        <w:t xml:space="preserve">IDX SWING TRADING FRAMEWORK</w:t>
      </w:r>
    </w:p>
    <w:p>
      <w:pPr>
        <w:spacing w:before="200" w:after="400"/>
        <w:jc w:val="center"/>
      </w:pPr>
      <w:r>
        <w:rPr>
          <w:rFonts w:ascii="Arial" w:cs="Arial" w:eastAsia="Arial" w:hAnsi="Arial"/>
          <w:color w:val="555555"/>
          <w:sz w:val="28"/>
          <w:szCs w:val="28"/>
        </w:rPr>
        <w:t xml:space="preserve">Trading Framework Specification</w:t>
      </w:r>
    </w:p>
    <w:p>
      <w:pPr>
        <w:spacing w:after="100"/>
        <w:jc w:val="center"/>
      </w:pPr>
      <w:r>
        <w:rPr>
          <w:rFonts w:ascii="Arial" w:cs="Arial" w:eastAsia="Arial" w:hAnsi="Arial"/>
          <w:i/>
          <w:iCs/>
          <w:color w:val="777777"/>
          <w:sz w:val="22"/>
          <w:szCs w:val="22"/>
        </w:rPr>
        <w:t xml:space="preserve">Following Big Money Movement on the Indonesia Stock Exchange</w:t>
      </w:r>
    </w:p>
    <w:p>
      <w:pPr>
        <w:spacing w:before="1500"/>
      </w:pPr>
    </w:p>
    <w:p>
      <w:pPr>
        <w:pBdr>
          <w:bottom w:val="single" w:color="1565C0" w:sz="6" w:space="8"/>
        </w:pBdr>
        <w:spacing w:after="600"/>
        <w:jc w:val="center"/>
      </w:pPr>
      <w:r>
        <w:rPr>
          <w:rFonts w:ascii="Arial" w:cs="Arial" w:eastAsia="Arial" w:hAnsi="Arial"/>
          <w:color w:val="999999"/>
          <w:sz w:val="20"/>
          <w:szCs w:val="20"/>
        </w:rPr>
        <w:t xml:space="preserve">Version 1.0 — March 2026</w:t>
      </w:r>
    </w:p>
    <w:p>
      <w:pPr>
        <w:spacing w:before="400"/>
        <w:jc w:val="center"/>
      </w:pPr>
      <w:r>
        <w:rPr>
          <w:rFonts w:ascii="Arial" w:cs="Arial" w:eastAsia="Arial" w:hAnsi="Arial"/>
          <w:i/>
          <w:iCs/>
          <w:color w:val="C62828"/>
          <w:sz w:val="18"/>
          <w:szCs w:val="18"/>
        </w:rPr>
        <w:t xml:space="preserve">DISCLAIMER: This document is for educational and research purposes only. Past performance does not guarantee future results. Trading involves risk of loss. Consult a licensed financial advisor before investing.</w:t>
      </w:r>
    </w:p>
    <w:p>
      <w:r>
        <w:br w:type="page"/>
      </w:r>
    </w:p>
    <w:p>
      <w:pPr>
        <w:pStyle w:val="Heading1"/>
        <w:spacing w:before="360" w:after="200"/>
      </w:pPr>
      <w:r>
        <w:rPr>
          <w:b/>
          <w:bCs/>
        </w:rPr>
        <w:t xml:space="preserve">1. Market Regime Filter</w:t>
      </w:r>
    </w:p>
    <w:p>
      <w:pPr>
        <w:spacing w:after="120" w:line="276"/>
      </w:pPr>
      <w:r>
        <w:rPr>
          <w:rFonts w:ascii="Arial" w:cs="Arial" w:eastAsia="Arial" w:hAnsi="Arial"/>
          <w:sz w:val="22"/>
          <w:szCs w:val="22"/>
        </w:rPr>
        <w:t xml:space="preserve">The system classifies the overall IHSG (Jakarta Composite Index) into three regimes: BULL, BEAR, or SIDEWAYS. This top-level filter determines the maximum portfolio exposure and whether new entries are permitted.</w:t>
      </w:r>
    </w:p>
    <w:p>
      <w:pPr>
        <w:pStyle w:val="Heading2"/>
        <w:spacing w:before="280" w:after="160"/>
      </w:pPr>
      <w:r>
        <w:rPr>
          <w:b/>
          <w:bCs/>
        </w:rPr>
        <w:t xml:space="preserve">1.1 Regime Classification Rules</w:t>
      </w:r>
    </w:p>
    <w:p>
      <w:pPr>
        <w:spacing w:after="120" w:line="276"/>
      </w:pPr>
      <w:r>
        <w:rPr>
          <w:rFonts w:ascii="Arial" w:cs="Arial" w:eastAsia="Arial" w:hAnsi="Arial"/>
          <w:sz w:val="22"/>
          <w:szCs w:val="22"/>
        </w:rPr>
        <w:t xml:space="preserve">The regime is determined by two independent indicators evaluated daily:</w:t>
      </w:r>
    </w:p>
    <w:p>
      <w:pPr>
        <w:spacing w:after="100" w:line="276"/>
      </w:pPr>
      <w:r>
        <w:rPr>
          <w:rFonts w:ascii="Arial" w:cs="Arial" w:eastAsia="Arial" w:hAnsi="Arial"/>
          <w:b/>
          <w:bCs/>
          <w:sz w:val="22"/>
          <w:szCs w:val="22"/>
        </w:rPr>
        <w:t xml:space="preserve">Indicator A — EMA Alignment: </w:t>
      </w:r>
      <w:r>
        <w:rPr>
          <w:rFonts w:ascii="Arial" w:cs="Arial" w:eastAsia="Arial" w:hAnsi="Arial"/>
          <w:sz w:val="22"/>
          <w:szCs w:val="22"/>
        </w:rPr>
        <w:t xml:space="preserve">Compute EMA(20), EMA(50), and EMA(200) on IHSG daily closing prices. Bullish alignment = EMA20 &gt; EMA50 &gt; EMA200. Bearish alignment = EMA20 &lt; EMA50 &lt; EMA200.</w:t>
      </w:r>
    </w:p>
    <w:p>
      <w:pPr>
        <w:spacing w:after="100" w:line="276"/>
      </w:pPr>
      <w:r>
        <w:rPr>
          <w:rFonts w:ascii="Arial" w:cs="Arial" w:eastAsia="Arial" w:hAnsi="Arial"/>
          <w:b/>
          <w:bCs/>
          <w:sz w:val="22"/>
          <w:szCs w:val="22"/>
        </w:rPr>
        <w:t xml:space="preserve">Indicator B — Market Breadth: </w:t>
      </w:r>
      <w:r>
        <w:rPr>
          <w:rFonts w:ascii="Arial" w:cs="Arial" w:eastAsia="Arial" w:hAnsi="Arial"/>
          <w:sz w:val="22"/>
          <w:szCs w:val="22"/>
        </w:rPr>
        <w:t xml:space="preserve">For all stocks in the trading universe, compute the percentage currently trading above their own 50-day Simple Moving Average (SMA). This breadth metric is recalculated daily.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200"/>
        <w:gridCol w:w="1648"/>
      </w:tblGrid>
      <w:tr>
        <w:tc>
          <w:tcPr>
            <w:tcW w:type="dxa" w:w="16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3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EMA Condition</w:t>
            </w:r>
          </w:p>
        </w:tc>
        <w:tc>
          <w:tcPr>
            <w:tcW w:type="dxa" w:w="3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Breadth Condition</w:t>
            </w:r>
          </w:p>
        </w:tc>
        <w:tc>
          <w:tcPr>
            <w:tcW w:type="dxa" w:w="1648"/>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Exposure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EMA20 &gt; EMA50 &gt; EMA200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Breadth &gt; 60%</w:t>
            </w:r>
          </w:p>
        </w:tc>
        <w:tc>
          <w:tcPr>
            <w:tcW w:type="dxa" w:w="1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EMA20 &lt; EMA50 &lt; EMA200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Breadth &lt; 40%</w:t>
            </w:r>
          </w:p>
        </w:tc>
        <w:tc>
          <w:tcPr>
            <w:tcW w:type="dxa" w:w="1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(cash)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SIDEWAYS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Anything else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Anything else</w:t>
            </w:r>
          </w:p>
        </w:tc>
        <w:tc>
          <w:tcPr>
            <w:tcW w:type="dxa" w:w="1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bl>
    <w:p>
      <w:pPr>
        <w:spacing w:after="120" w:line="276"/>
      </w:pPr>
      <w:r>
        <w:rPr>
          <w:rFonts w:ascii="Arial" w:cs="Arial" w:eastAsia="Arial" w:hAnsi="Arial"/>
          <w:sz w:val="22"/>
          <w:szCs w:val="22"/>
        </w:rPr>
        <w:t xml:space="preserve">Both conditions must be satisfied simultaneously for BULL or BEAR classification. If either condition is not met, the regime defaults to SIDEWAYS.</w:t>
      </w:r>
    </w:p>
    <w:p>
      <w:pPr>
        <w:pStyle w:val="Heading2"/>
        <w:spacing w:before="280" w:after="160"/>
      </w:pPr>
      <w:r>
        <w:rPr>
          <w:b/>
          <w:bCs/>
        </w:rPr>
        <w:t xml:space="preserve">1.2 Exposure Rules</w:t>
      </w:r>
    </w:p>
    <w:p>
      <w:pPr>
        <w:spacing w:after="120" w:line="276"/>
      </w:pPr>
      <w:r>
        <w:rPr>
          <w:rFonts w:ascii="Arial" w:cs="Arial" w:eastAsia="Arial" w:hAnsi="Arial"/>
          <w:sz w:val="22"/>
          <w:szCs w:val="22"/>
        </w:rPr>
        <w:t xml:space="preserve">BULL: System is fully active. All entry signals are eligible. Maximum portfolio exposure is 80% of equity (the remaining 20% is a cash buffer per position sizing rules).</w:t>
      </w:r>
    </w:p>
    <w:p>
      <w:pPr>
        <w:spacing w:after="120" w:line="276"/>
      </w:pPr>
      <w:r>
        <w:rPr>
          <w:rFonts w:ascii="Arial" w:cs="Arial" w:eastAsia="Arial" w:hAnsi="Arial"/>
          <w:sz w:val="22"/>
          <w:szCs w:val="22"/>
        </w:rPr>
        <w:t xml:space="preserve">SIDEWAYS: Reduced exposure. New entries are permitted but position sizes are halved (exposure multiplier = 0.5). Maximum 4 concurrent positions instead of 8.</w:t>
      </w:r>
    </w:p>
    <w:p>
      <w:pPr>
        <w:spacing w:after="120" w:line="276"/>
      </w:pPr>
      <w:r>
        <w:rPr>
          <w:rFonts w:ascii="Arial" w:cs="Arial" w:eastAsia="Arial" w:hAnsi="Arial"/>
          <w:sz w:val="22"/>
          <w:szCs w:val="22"/>
        </w:rPr>
        <w:t xml:space="preserve">BEAR: Cash-only. No new entries. All existing positions are closed within 1 trading day using market-on-close orders. The system remains in cash until the regime changes.</w:t>
      </w:r>
    </w:p>
    <w:p>
      <w:r>
        <w:br w:type="page"/>
      </w:r>
    </w:p>
    <w:p>
      <w:pPr>
        <w:pStyle w:val="Heading1"/>
        <w:spacing w:before="360" w:after="200"/>
      </w:pPr>
      <w:r>
        <w:rPr>
          <w:b/>
          <w:bCs/>
        </w:rPr>
        <w:t xml:space="preserve">2. Big Money / Institutional Flow Detection</w:t>
      </w:r>
    </w:p>
    <w:p>
      <w:pPr>
        <w:spacing w:after="120" w:line="276"/>
      </w:pPr>
      <w:r>
        <w:rPr>
          <w:rFonts w:ascii="Arial" w:cs="Arial" w:eastAsia="Arial" w:hAnsi="Arial"/>
          <w:sz w:val="22"/>
          <w:szCs w:val="22"/>
        </w:rPr>
        <w:t xml:space="preserve">This is the core edge of the system. Three complementary methods detect institutional accumulation or distribution. Each method produces a normalised score from 0.0 (strong distribution) to 1.0 (strong accumulation), with 0.5 being neutral.</w:t>
      </w:r>
    </w:p>
    <w:p>
      <w:pPr>
        <w:pStyle w:val="Heading2"/>
        <w:spacing w:before="280" w:after="160"/>
      </w:pPr>
      <w:r>
        <w:rPr>
          <w:b/>
          <w:bCs/>
        </w:rPr>
        <w:t xml:space="preserve">2.1 Method 1: Foreign Flow Analysis (Weight: 35%)</w:t>
      </w:r>
    </w:p>
    <w:p>
      <w:pPr>
        <w:spacing w:after="120" w:line="276"/>
      </w:pPr>
      <w:r>
        <w:rPr>
          <w:rFonts w:ascii="Arial" w:cs="Arial" w:eastAsia="Arial" w:hAnsi="Arial"/>
          <w:sz w:val="22"/>
          <w:szCs w:val="22"/>
        </w:rPr>
        <w:t xml:space="preserve">IDX publishes daily net foreign buy/sell data per stock. Foreign institutional investors (typically routed through broker codes CS, UB, YU, RX, AK, CC, BK) are a significant source of smart money flow on IDX.</w:t>
      </w:r>
    </w:p>
    <w:p>
      <w:pPr>
        <w:spacing w:before="200" w:after="120"/>
      </w:pPr>
      <w:r>
        <w:rPr>
          <w:rFonts w:ascii="Arial" w:cs="Arial" w:eastAsia="Arial" w:hAnsi="Arial"/>
          <w:b/>
          <w:bCs/>
          <w:color w:val="333333"/>
          <w:sz w:val="22"/>
          <w:szCs w:val="22"/>
        </w:rPr>
        <w:t xml:space="preserve">Calculation</w:t>
      </w:r>
    </w:p>
    <w:p>
      <w:pPr>
        <w:spacing w:after="120" w:line="276"/>
      </w:pPr>
      <w:r>
        <w:rPr>
          <w:rFonts w:ascii="Arial" w:cs="Arial" w:eastAsia="Arial" w:hAnsi="Arial"/>
          <w:sz w:val="22"/>
          <w:szCs w:val="22"/>
        </w:rPr>
        <w:t xml:space="preserve">Step 1: Compute the 20-day average daily volume for the stock.</w:t>
      </w:r>
    </w:p>
    <w:p>
      <w:pPr>
        <w:spacing w:after="120" w:line="276"/>
      </w:pPr>
      <w:r>
        <w:rPr>
          <w:rFonts w:ascii="Arial" w:cs="Arial" w:eastAsia="Arial" w:hAnsi="Arial"/>
          <w:sz w:val="22"/>
          <w:szCs w:val="22"/>
        </w:rPr>
        <w:t xml:space="preserve">Step 2: For each day, check if the net foreign buy volume exceeds 10% of the 20-day average volume. If yes, mark as a “significant foreign buy day.” Conversely mark “significant foreign sell days.”</w:t>
      </w:r>
    </w:p>
    <w:p>
      <w:pPr>
        <w:spacing w:after="120" w:line="276"/>
      </w:pPr>
      <w:r>
        <w:rPr>
          <w:rFonts w:ascii="Arial" w:cs="Arial" w:eastAsia="Arial" w:hAnsi="Arial"/>
          <w:sz w:val="22"/>
          <w:szCs w:val="22"/>
        </w:rPr>
        <w:t xml:space="preserve">Step 3: Count consecutive significant buy days. The score is: accumulation_score = min(consecutive_buy_days / 3, 1.0) × 0.5 + 0.5. For sell days, it mirrors: distribution_score = 0.5 − min(consecutive_sell_days / 3, 1.0) × 0.5. Neutral (no consecutive days) = 0.5.</w:t>
      </w:r>
    </w:p>
    <w:p>
      <w:pPr>
        <w:pStyle w:val="Heading2"/>
        <w:spacing w:before="280" w:after="160"/>
      </w:pPr>
      <w:r>
        <w:rPr>
          <w:b/>
          <w:bCs/>
        </w:rPr>
        <w:t xml:space="preserve">2.2 Method 2: Volume-Price Analysis (Weight: 35%)</w:t>
      </w:r>
    </w:p>
    <w:p>
      <w:pPr>
        <w:spacing w:after="120" w:line="276"/>
      </w:pPr>
      <w:r>
        <w:rPr>
          <w:rFonts w:ascii="Arial" w:cs="Arial" w:eastAsia="Arial" w:hAnsi="Arial"/>
          <w:sz w:val="22"/>
          <w:szCs w:val="22"/>
        </w:rPr>
        <w:t xml:space="preserve">Institutional accumulation creates a distinctive volume-price signature: high volume on up-days combined with low volume on down-days.</w:t>
      </w:r>
    </w:p>
    <w:p>
      <w:pPr>
        <w:spacing w:before="200" w:after="120"/>
      </w:pPr>
      <w:r>
        <w:rPr>
          <w:rFonts w:ascii="Arial" w:cs="Arial" w:eastAsia="Arial" w:hAnsi="Arial"/>
          <w:b/>
          <w:bCs/>
          <w:color w:val="333333"/>
          <w:sz w:val="22"/>
          <w:szCs w:val="22"/>
        </w:rPr>
        <w:t xml:space="preserve">Sub-component A: Volume Spike Analysis</w:t>
      </w:r>
    </w:p>
    <w:p>
      <w:pPr>
        <w:spacing w:after="120" w:line="276"/>
      </w:pPr>
      <w:r>
        <w:rPr>
          <w:rFonts w:ascii="Arial" w:cs="Arial" w:eastAsia="Arial" w:hAnsi="Arial"/>
          <w:sz w:val="22"/>
          <w:szCs w:val="22"/>
        </w:rPr>
        <w:t xml:space="preserve">A volume spike is defined as daily volume exceeding 2.0× the 20-day average volume. Count up-day spikes and down-day spikes over a rolling 10-day window. Score = up_spikes / (up_spikes + down_spikes). Score of 1.0 means all spikes were bullish; 0.0 means all bearish; 0.5 means balanced or no spikes.</w:t>
      </w:r>
    </w:p>
    <w:p>
      <w:pPr>
        <w:spacing w:before="200" w:after="120"/>
      </w:pPr>
      <w:r>
        <w:rPr>
          <w:rFonts w:ascii="Arial" w:cs="Arial" w:eastAsia="Arial" w:hAnsi="Arial"/>
          <w:b/>
          <w:bCs/>
          <w:color w:val="333333"/>
          <w:sz w:val="22"/>
          <w:szCs w:val="22"/>
        </w:rPr>
        <w:t xml:space="preserve">Sub-component B: OBV (On-Balance Volume) Slope</w:t>
      </w:r>
    </w:p>
    <w:p>
      <w:pPr>
        <w:spacing w:after="120" w:line="276"/>
      </w:pPr>
      <w:r>
        <w:rPr>
          <w:rFonts w:ascii="Arial" w:cs="Arial" w:eastAsia="Arial" w:hAnsi="Arial"/>
          <w:sz w:val="22"/>
          <w:szCs w:val="22"/>
        </w:rPr>
        <w:t xml:space="preserve">Compute OBV cumulatively. Then compute the linear regression slope of OBV over the past 10 days. Normalise the slope using a sigmoid function: score = 1 / (1 + exp(−slope / rolling_std)). Rising OBV → score &gt; 0.5 (accumulation). Falling OBV → score &lt; 0.5 (distribution).</w:t>
      </w:r>
    </w:p>
    <w:p>
      <w:pPr>
        <w:spacing w:before="200" w:after="120"/>
      </w:pPr>
      <w:r>
        <w:rPr>
          <w:rFonts w:ascii="Arial" w:cs="Arial" w:eastAsia="Arial" w:hAnsi="Arial"/>
          <w:b/>
          <w:bCs/>
          <w:color w:val="333333"/>
          <w:sz w:val="22"/>
          <w:szCs w:val="22"/>
        </w:rPr>
        <w:t xml:space="preserve">Sub-component C: Accumulation/Distribution Line</w:t>
      </w:r>
    </w:p>
    <w:p>
      <w:pPr>
        <w:spacing w:after="120" w:line="276"/>
      </w:pPr>
      <w:r>
        <w:rPr>
          <w:rFonts w:ascii="Arial" w:cs="Arial" w:eastAsia="Arial" w:hAnsi="Arial"/>
          <w:sz w:val="22"/>
          <w:szCs w:val="22"/>
        </w:rPr>
        <w:t xml:space="preserve">A/D Line = cumulative sum of Money Flow Volume, where Money Flow Multiplier = ((Close − Low) − (High − Close)) / (High − Low), and MFV = MFM × Volume. Compute the 10-day linear regression slope of the A/D line and normalise with a sigmoid. Final volume-price score = average of sub-components A, B, and C.</w:t>
      </w:r>
    </w:p>
    <w:p>
      <w:pPr>
        <w:pStyle w:val="Heading2"/>
        <w:spacing w:before="280" w:after="160"/>
      </w:pPr>
      <w:r>
        <w:rPr>
          <w:b/>
          <w:bCs/>
        </w:rPr>
        <w:t xml:space="preserve">2.3 Method 3: Broker Summary Analysis (Weight: 30%)</w:t>
      </w:r>
    </w:p>
    <w:p>
      <w:pPr>
        <w:spacing w:after="120" w:line="276"/>
      </w:pPr>
      <w:r>
        <w:rPr>
          <w:rFonts w:ascii="Arial" w:cs="Arial" w:eastAsia="Arial" w:hAnsi="Arial"/>
          <w:sz w:val="22"/>
          <w:szCs w:val="22"/>
        </w:rPr>
        <w:t xml:space="preserve">IDX publishes daily broker-level transaction summaries. By identifying known institutional broker codes, we can detect when institutions are systematically accumulating a stock.</w:t>
      </w:r>
    </w:p>
    <w:p>
      <w:pPr>
        <w:spacing w:before="200" w:after="120"/>
      </w:pPr>
      <w:r>
        <w:rPr>
          <w:rFonts w:ascii="Arial" w:cs="Arial" w:eastAsia="Arial" w:hAnsi="Arial"/>
          <w:b/>
          <w:bCs/>
          <w:color w:val="333333"/>
          <w:sz w:val="22"/>
          <w:szCs w:val="22"/>
        </w:rPr>
        <w:t xml:space="preserve">Institutional Broker Codes</w:t>
      </w:r>
    </w:p>
    <w:p>
      <w:pPr>
        <w:spacing w:after="120" w:line="276"/>
      </w:pPr>
      <w:r>
        <w:rPr>
          <w:rFonts w:ascii="Arial" w:cs="Arial" w:eastAsia="Arial" w:hAnsi="Arial"/>
          <w:sz w:val="22"/>
          <w:szCs w:val="22"/>
        </w:rPr>
        <w:t xml:space="preserve">Foreign institutional brokers: CS, UB, YU, RX, AK, CC, BK. Domestic institutional brokers: PD, IF, NI, KZ, BW. This list should be updated periodically as broker codes change.</w:t>
      </w:r>
    </w:p>
    <w:p>
      <w:pPr>
        <w:spacing w:before="200" w:after="120"/>
      </w:pPr>
      <w:r>
        <w:rPr>
          <w:rFonts w:ascii="Arial" w:cs="Arial" w:eastAsia="Arial" w:hAnsi="Arial"/>
          <w:b/>
          <w:bCs/>
          <w:color w:val="333333"/>
          <w:sz w:val="22"/>
          <w:szCs w:val="22"/>
        </w:rPr>
        <w:t xml:space="preserve">Calculation</w:t>
      </w:r>
    </w:p>
    <w:p>
      <w:pPr>
        <w:spacing w:after="120" w:line="276"/>
      </w:pPr>
      <w:r>
        <w:rPr>
          <w:rFonts w:ascii="Arial" w:cs="Arial" w:eastAsia="Arial" w:hAnsi="Arial"/>
          <w:sz w:val="22"/>
          <w:szCs w:val="22"/>
        </w:rPr>
        <w:t xml:space="preserve">Sum the net value (buy − sell) for all institutional broker codes per stock per day. If the institutional net buy exceeds 15% of the stock’s total daily traded value, mark as a “significant institutional buy day.” Count consecutive institutional buy/sell days. Score follows the same formula as Method 1 (consecutive count / 3, mapped to 0–1 range).</w:t>
      </w:r>
    </w:p>
    <w:p>
      <w:pPr>
        <w:spacing w:before="200" w:after="120"/>
      </w:pPr>
      <w:r>
        <w:rPr>
          <w:rFonts w:ascii="Arial" w:cs="Arial" w:eastAsia="Arial" w:hAnsi="Arial"/>
          <w:b/>
          <w:bCs/>
          <w:color w:val="333333"/>
          <w:sz w:val="22"/>
          <w:szCs w:val="22"/>
        </w:rPr>
        <w:t xml:space="preserve">Fallback When No Broker Data Available</w:t>
      </w:r>
    </w:p>
    <w:p>
      <w:pPr>
        <w:spacing w:after="120" w:line="276"/>
      </w:pPr>
      <w:r>
        <w:rPr>
          <w:rFonts w:ascii="Arial" w:cs="Arial" w:eastAsia="Arial" w:hAnsi="Arial"/>
          <w:sz w:val="22"/>
          <w:szCs w:val="22"/>
        </w:rPr>
        <w:t xml:space="preserve">If broker summary data is unavailable, use a VWAP deviation proxy: compute approximate VWAP as the 20-day rolling volume-weighted average of typical price ((H+L+C)/3). If the close consistently trades above VWAP, it suggests buying pressure. Score = sigmoid(deviation × 20).</w:t>
      </w:r>
    </w:p>
    <w:p>
      <w:pPr>
        <w:pStyle w:val="Heading2"/>
        <w:spacing w:before="280" w:after="160"/>
      </w:pPr>
      <w:r>
        <w:rPr>
          <w:b/>
          <w:bCs/>
        </w:rPr>
        <w:t xml:space="preserve">2.4 Composite Score</w:t>
      </w:r>
    </w:p>
    <w:p>
      <w:pPr>
        <w:spacing w:after="120" w:line="276"/>
      </w:pPr>
      <w:r>
        <w:rPr>
          <w:rFonts w:ascii="Arial" w:cs="Arial" w:eastAsia="Arial" w:hAnsi="Arial"/>
          <w:sz w:val="22"/>
          <w:szCs w:val="22"/>
        </w:rPr>
        <w:t xml:space="preserve">The final composite big-money score is a weighted average:</w:t>
      </w:r>
    </w:p>
    <w:p>
      <w:pPr>
        <w:spacing w:after="120" w:line="276"/>
      </w:pPr>
      <w:r>
        <w:rPr>
          <w:rFonts w:ascii="Arial" w:cs="Arial" w:eastAsia="Arial" w:hAnsi="Arial"/>
          <w:sz w:val="22"/>
          <w:szCs w:val="22"/>
        </w:rPr>
        <w:t xml:space="preserve">composite = 0.35 × foreign_flow_score + 0.35 × volume_price_score + 0.30 × broker_score</w:t>
      </w:r>
    </w:p>
    <w:p>
      <w:pPr>
        <w:spacing w:after="120" w:line="276"/>
      </w:pPr>
      <w:r>
        <w:rPr>
          <w:rFonts w:ascii="Arial" w:cs="Arial" w:eastAsia="Arial" w:hAnsi="Arial"/>
          <w:sz w:val="22"/>
          <w:szCs w:val="22"/>
        </w:rPr>
        <w:t xml:space="preserve">Entry threshold: composite ≥ 0.55 (required for BUY signal).</w:t>
      </w:r>
    </w:p>
    <w:p>
      <w:pPr>
        <w:spacing w:after="120" w:line="276"/>
      </w:pPr>
      <w:r>
        <w:rPr>
          <w:rFonts w:ascii="Arial" w:cs="Arial" w:eastAsia="Arial" w:hAnsi="Arial"/>
          <w:sz w:val="22"/>
          <w:szCs w:val="22"/>
        </w:rPr>
        <w:t xml:space="preserve">Exit threshold: composite &lt; 0.25 (triggers distribution exit).</w:t>
      </w:r>
    </w:p>
    <w:p>
      <w:r>
        <w:br w:type="page"/>
      </w:r>
    </w:p>
    <w:p>
      <w:pPr>
        <w:pStyle w:val="Heading1"/>
        <w:spacing w:before="360" w:after="200"/>
      </w:pPr>
      <w:r>
        <w:rPr>
          <w:b/>
          <w:bCs/>
        </w:rPr>
        <w:t xml:space="preserve">3. Stock Universe &amp; Pre-Screening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Filter</w:t>
            </w:r>
          </w:p>
        </w:tc>
        <w:tc>
          <w:tcPr>
            <w:tcW w:type="dxa" w:w="6448"/>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 Membership</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LQ45 constituents (reviewed every 6 months by IDX)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Avg Daily Value</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 Rp 5 billion per day (20-day average)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Market Cap</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 Rp 1 trillion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Bid-Ask Spread</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2% of price (when data available)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Excluded Sectors</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by default (configurable)</w:t>
            </w:r>
          </w:p>
        </w:tc>
      </w:tr>
    </w:tbl>
    <w:p>
      <w:pPr>
        <w:spacing w:after="120" w:line="276"/>
      </w:pPr>
      <w:r>
        <w:rPr>
          <w:rFonts w:ascii="Arial" w:cs="Arial" w:eastAsia="Arial" w:hAnsi="Arial"/>
          <w:sz w:val="22"/>
          <w:szCs w:val="22"/>
        </w:rPr>
        <w:t xml:space="preserve">The universe is refreshed when LQ45 constituents change. Stocks that fall out of LQ45 are removed from the eligible universe (existing positions are not force-closed but no new entries are allowed).</w:t>
      </w:r>
    </w:p>
    <w:p>
      <w:pPr>
        <w:pStyle w:val="Heading1"/>
        <w:spacing w:before="360" w:after="200"/>
      </w:pPr>
      <w:r>
        <w:rPr>
          <w:b/>
          <w:bCs/>
        </w:rPr>
        <w:t xml:space="preserve">4. Entry Rules</w:t>
      </w:r>
    </w:p>
    <w:p>
      <w:pPr>
        <w:spacing w:after="120" w:line="276"/>
      </w:pPr>
      <w:r>
        <w:rPr>
          <w:rFonts w:ascii="Arial" w:cs="Arial" w:eastAsia="Arial" w:hAnsi="Arial"/>
          <w:sz w:val="22"/>
          <w:szCs w:val="22"/>
        </w:rPr>
        <w:t xml:space="preserve">A BUY signal is generated when ALL of the following conditions are simultaneously true on a given trading 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48"/>
      </w:tblGrid>
      <w:tr>
        <w:tc>
          <w:tcPr>
            <w:tcW w:type="dxa" w:w="6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6648"/>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Exact Rule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Regime</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 BULL or SIDEWAYS (exposure multiplier &gt; 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 Money Score</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score ≥ 0.55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vs EMA</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&gt; 50-day EMA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RSI Range</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 RSI(14) ≤ 70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MACD Confirmation</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MACD histogram &gt; 0 (MACD line above signal 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Confirmation</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Today’s volume ≥ 1.2× 20-day average volume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Room</w:t>
            </w:r>
          </w:p>
        </w:tc>
        <w:tc>
          <w:tcPr>
            <w:tcW w:type="dxa" w:w="6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max positions, &lt; max exposure, &lt; sector limit</w:t>
            </w:r>
          </w:p>
        </w:tc>
      </w:tr>
    </w:tbl>
    <w:p>
      <w:pPr>
        <w:pStyle w:val="Heading2"/>
        <w:spacing w:before="280" w:after="160"/>
      </w:pPr>
      <w:r>
        <w:rPr>
          <w:b/>
          <w:bCs/>
        </w:rPr>
        <w:t xml:space="preserve">4.1 Entry Timing</w:t>
      </w:r>
    </w:p>
    <w:p>
      <w:pPr>
        <w:spacing w:after="120" w:line="276"/>
      </w:pPr>
      <w:r>
        <w:rPr>
          <w:rFonts w:ascii="Arial" w:cs="Arial" w:eastAsia="Arial" w:hAnsi="Arial"/>
          <w:sz w:val="22"/>
          <w:szCs w:val="22"/>
        </w:rPr>
        <w:t xml:space="preserve">Signals are evaluated at session close. Entry is executed at the next trading day’s opening price (plus 1-tick adverse slippage). This prevents look-ahead bias and is realistic for manual or semi-automated execution.</w:t>
      </w:r>
    </w:p>
    <w:p>
      <w:pPr>
        <w:pStyle w:val="Heading2"/>
        <w:spacing w:before="280" w:after="160"/>
      </w:pPr>
      <w:r>
        <w:rPr>
          <w:b/>
          <w:bCs/>
        </w:rPr>
        <w:t xml:space="preserve">4.2 Lot Sizing</w:t>
      </w:r>
    </w:p>
    <w:p>
      <w:pPr>
        <w:spacing w:after="120" w:line="276"/>
      </w:pPr>
      <w:r>
        <w:rPr>
          <w:rFonts w:ascii="Arial" w:cs="Arial" w:eastAsia="Arial" w:hAnsi="Arial"/>
          <w:sz w:val="22"/>
          <w:szCs w:val="22"/>
        </w:rPr>
        <w:t xml:space="preserve">IDX trades in lots of 100 shares. All position sizes are rounded DOWN to the nearest 100 shares. If the calculated position is less than 100 shares (1 lot), the trade is skipped.</w:t>
      </w:r>
    </w:p>
    <w:p>
      <w:r>
        <w:br w:type="page"/>
      </w:r>
    </w:p>
    <w:p>
      <w:pPr>
        <w:pStyle w:val="Heading1"/>
        <w:spacing w:before="360" w:after="200"/>
      </w:pPr>
      <w:r>
        <w:rPr>
          <w:b/>
          <w:bCs/>
        </w:rPr>
        <w:t xml:space="preserve">5. Position Sizing &amp; Risk Management</w:t>
      </w:r>
    </w:p>
    <w:p>
      <w:pPr>
        <w:pStyle w:val="Heading2"/>
        <w:spacing w:before="280" w:after="160"/>
      </w:pPr>
      <w:r>
        <w:rPr>
          <w:b/>
          <w:bCs/>
        </w:rPr>
        <w:t xml:space="preserve">5.1 ATR-Based Fixed-Fractional Sizing</w:t>
      </w:r>
    </w:p>
    <w:p>
      <w:pPr>
        <w:spacing w:after="120" w:line="276"/>
      </w:pPr>
      <w:r>
        <w:rPr>
          <w:rFonts w:ascii="Arial" w:cs="Arial" w:eastAsia="Arial" w:hAnsi="Arial"/>
          <w:sz w:val="22"/>
          <w:szCs w:val="22"/>
        </w:rPr>
        <w:t xml:space="preserve">The system risks a fixed 2% of total portfolio equity per trade. Position size is determined by the stock’s volatility (ATR):</w:t>
      </w:r>
    </w:p>
    <w:p>
      <w:pPr>
        <w:spacing w:after="120" w:line="276"/>
      </w:pPr>
      <w:r>
        <w:rPr>
          <w:rFonts w:ascii="Arial" w:cs="Arial" w:eastAsia="Arial" w:hAnsi="Arial"/>
          <w:sz w:val="22"/>
          <w:szCs w:val="22"/>
        </w:rPr>
        <w:t xml:space="preserve">risk_amount = equity × 0.02</w:t>
      </w:r>
    </w:p>
    <w:p>
      <w:pPr>
        <w:spacing w:after="120" w:line="276"/>
      </w:pPr>
      <w:r>
        <w:rPr>
          <w:rFonts w:ascii="Arial" w:cs="Arial" w:eastAsia="Arial" w:hAnsi="Arial"/>
          <w:sz w:val="22"/>
          <w:szCs w:val="22"/>
        </w:rPr>
        <w:t xml:space="preserve">stop_distance = ATR(14) × 2.0</w:t>
      </w:r>
    </w:p>
    <w:p>
      <w:pPr>
        <w:spacing w:after="120" w:line="276"/>
      </w:pPr>
      <w:r>
        <w:rPr>
          <w:rFonts w:ascii="Arial" w:cs="Arial" w:eastAsia="Arial" w:hAnsi="Arial"/>
          <w:sz w:val="22"/>
          <w:szCs w:val="22"/>
        </w:rPr>
        <w:t xml:space="preserve">shares = risk_amount / stop_distance</w:t>
      </w:r>
    </w:p>
    <w:p>
      <w:pPr>
        <w:spacing w:after="120" w:line="276"/>
      </w:pPr>
      <w:r>
        <w:rPr>
          <w:rFonts w:ascii="Arial" w:cs="Arial" w:eastAsia="Arial" w:hAnsi="Arial"/>
          <w:sz w:val="22"/>
          <w:szCs w:val="22"/>
        </w:rPr>
        <w:t xml:space="preserve">shares = round_down_to_lot(shares)</w:t>
      </w:r>
    </w:p>
    <w:p>
      <w:pPr>
        <w:spacing w:after="120" w:line="276"/>
      </w:pPr>
      <w:r>
        <w:rPr>
          <w:rFonts w:ascii="Arial" w:cs="Arial" w:eastAsia="Arial" w:hAnsi="Arial"/>
          <w:sz w:val="22"/>
          <w:szCs w:val="22"/>
        </w:rPr>
        <w:t xml:space="preserve">This means volatile stocks get smaller positions and stable stocks get larger positions — equalising risk across trades.</w:t>
      </w:r>
    </w:p>
    <w:p>
      <w:pPr>
        <w:pStyle w:val="Heading2"/>
        <w:spacing w:before="280" w:after="160"/>
      </w:pPr>
      <w:r>
        <w:rPr>
          <w:b/>
          <w:bCs/>
        </w:rPr>
        <w:t xml:space="preserve">5.2 Portfolio Constraints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48"/>
      </w:tblGrid>
      <w:tr>
        <w:tc>
          <w:tcPr>
            <w:tcW w:type="dxa" w:w="4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2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Limit</w:t>
            </w:r>
          </w:p>
        </w:tc>
        <w:tc>
          <w:tcPr>
            <w:tcW w:type="dxa" w:w="3248"/>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position size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of equity</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 concentration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total exposure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of equity</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cash buffer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concurrent positions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stocks</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Manageable diversification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sector concentration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of equity</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Sector diversification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 settlement buffer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of equity</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IDX settlement cycle</w:t>
            </w:r>
          </w:p>
        </w:tc>
      </w:tr>
    </w:tbl>
    <w:p>
      <w:pPr>
        <w:pStyle w:val="Heading2"/>
        <w:spacing w:before="280" w:after="160"/>
      </w:pPr>
      <w:r>
        <w:rPr>
          <w:b/>
          <w:bCs/>
        </w:rPr>
        <w:t xml:space="preserve">5.3 Regime Adjustment</w:t>
      </w:r>
    </w:p>
    <w:p>
      <w:pPr>
        <w:spacing w:after="120" w:line="276"/>
      </w:pPr>
      <w:r>
        <w:rPr>
          <w:rFonts w:ascii="Arial" w:cs="Arial" w:eastAsia="Arial" w:hAnsi="Arial"/>
          <w:sz w:val="22"/>
          <w:szCs w:val="22"/>
        </w:rPr>
        <w:t xml:space="preserve">In SIDEWAYS regime, the exposure multiplier is 0.5, effectively halving all position sizes. In BEAR regime, no new positions are taken.</w:t>
      </w:r>
    </w:p>
    <w:p>
      <w:pPr>
        <w:pStyle w:val="Heading1"/>
        <w:spacing w:before="360" w:after="200"/>
      </w:pPr>
      <w:r>
        <w:rPr>
          <w:b/>
          <w:bCs/>
        </w:rPr>
        <w:t xml:space="preserve">6. Exit Rules</w:t>
      </w:r>
    </w:p>
    <w:p>
      <w:pPr>
        <w:spacing w:after="120" w:line="276"/>
      </w:pPr>
      <w:r>
        <w:rPr>
          <w:rFonts w:ascii="Arial" w:cs="Arial" w:eastAsia="Arial" w:hAnsi="Arial"/>
          <w:sz w:val="22"/>
          <w:szCs w:val="22"/>
        </w:rPr>
        <w:t xml:space="preserve">Positions are exited when ANY of the following conditions trigger. The first trigger wins.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848"/>
      </w:tblGrid>
      <w:tr>
        <w:tc>
          <w:tcPr>
            <w:tcW w:type="dxa" w:w="6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Exit Type</w:t>
            </w:r>
          </w:p>
        </w:tc>
        <w:tc>
          <w:tcPr>
            <w:tcW w:type="dxa" w:w="6848"/>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Rule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Stop-Loss</w:t>
            </w:r>
          </w:p>
        </w:tc>
        <w:tc>
          <w:tcPr>
            <w:tcW w:type="dxa" w:w="6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intraday low ≤ stop price. Stop = wider of: entry − 7% OR entry − 2×ATR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Trailing Stop</w:t>
            </w:r>
          </w:p>
        </w:tc>
        <w:tc>
          <w:tcPr>
            <w:tcW w:type="dxa" w:w="6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Activates after +10% unrealised gain. Trail = highest_close − 2.5×ATR. Stop only ratchets up, never down.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Profit</w:t>
            </w:r>
          </w:p>
        </w:tc>
        <w:tc>
          <w:tcPr>
            <w:tcW w:type="dxa" w:w="6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Sell 50% of position at +15% gain. Remaining shares continue with trailing stop.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Exit</w:t>
            </w:r>
          </w:p>
        </w:tc>
        <w:tc>
          <w:tcPr>
            <w:tcW w:type="dxa" w:w="6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stock has not gained +5% within 20 trading days, close entire position.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 Money Exit</w:t>
            </w:r>
          </w:p>
        </w:tc>
        <w:tc>
          <w:tcPr>
            <w:tcW w:type="dxa" w:w="6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composite big-money score drops below 0.25 (distribution detected), close entire position.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Exit</w:t>
            </w:r>
          </w:p>
        </w:tc>
        <w:tc>
          <w:tcPr>
            <w:tcW w:type="dxa" w:w="6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market regime shifts to BEAR, close 100% of all positions.</w:t>
            </w:r>
          </w:p>
        </w:tc>
      </w:tr>
    </w:tbl>
    <w:p>
      <w:r>
        <w:br w:type="page"/>
      </w:r>
    </w:p>
    <w:p>
      <w:pPr>
        <w:pStyle w:val="Heading1"/>
        <w:spacing w:before="360" w:after="200"/>
      </w:pPr>
      <w:r>
        <w:rPr>
          <w:b/>
          <w:bCs/>
        </w:rPr>
        <w:t xml:space="preserve">7. IDX-Specific Considerations</w:t>
      </w:r>
    </w:p>
    <w:p>
      <w:pPr>
        <w:pStyle w:val="Heading2"/>
        <w:spacing w:before="280" w:after="160"/>
      </w:pPr>
      <w:r>
        <w:rPr>
          <w:b/>
          <w:bCs/>
        </w:rPr>
        <w:t xml:space="preserve">7.1 Trading Hours</w:t>
      </w:r>
    </w:p>
    <w:p>
      <w:pPr>
        <w:spacing w:after="120" w:line="276"/>
      </w:pPr>
      <w:r>
        <w:rPr>
          <w:rFonts w:ascii="Arial" w:cs="Arial" w:eastAsia="Arial" w:hAnsi="Arial"/>
          <w:sz w:val="22"/>
          <w:szCs w:val="22"/>
        </w:rPr>
        <w:t xml:space="preserve">Pre-opening: 08:45–09:00 WIB. Session 1: 09:00–12:00 WIB. Session 2: 13:30–16:15 WIB. Signals are evaluated at session 2 close; entries executed at next day’s open.</w:t>
      </w:r>
    </w:p>
    <w:p>
      <w:pPr>
        <w:pStyle w:val="Heading2"/>
        <w:spacing w:before="280" w:after="160"/>
      </w:pPr>
      <w:r>
        <w:rPr>
          <w:b/>
          <w:bCs/>
        </w:rPr>
        <w:t xml:space="preserve">7.2 Auto-Rejection Limits (ARA/ARB)</w:t>
      </w:r>
    </w:p>
    <w:p>
      <w:pPr>
        <w:spacing w:after="120" w:line="276"/>
      </w:pPr>
      <w:r>
        <w:rPr>
          <w:rFonts w:ascii="Arial" w:cs="Arial" w:eastAsia="Arial" w:hAnsi="Arial"/>
          <w:sz w:val="22"/>
          <w:szCs w:val="22"/>
        </w:rPr>
        <w:t xml:space="preserve">IDX enforces daily price limits. Regular board stocks have ±25% limits. If a stock hits ARA (upper limit), it cannot be bought at a higher price that day — the system queues the order for the next session. If a stock hits ARB (lower limit) while we hold a position, the stop-loss may not execute at the desired price. In backtesting, we assume stop-loss executes at the ARB price (worst case).</w:t>
      </w:r>
    </w:p>
    <w:p>
      <w:pPr>
        <w:pStyle w:val="Heading2"/>
        <w:spacing w:before="280" w:after="160"/>
      </w:pPr>
      <w:r>
        <w:rPr>
          <w:b/>
          <w:bCs/>
        </w:rPr>
        <w:t xml:space="preserve">7.3 Tick Sizes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4824"/>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Price Band (IDR)</w:t>
            </w:r>
          </w:p>
        </w:tc>
        <w:tc>
          <w:tcPr>
            <w:tcW w:type="dxa" w:w="4824"/>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Tick Size (IDR)</w:t>
            </w:r>
          </w:p>
        </w:tc>
      </w:tr>
      <w:tr>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 50</w:t>
            </w:r>
          </w:p>
        </w:tc>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 – 200</w:t>
            </w:r>
          </w:p>
        </w:tc>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 – 500</w:t>
            </w:r>
          </w:p>
        </w:tc>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501 – 2,000</w:t>
            </w:r>
          </w:p>
        </w:tc>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2,001 – 5,000</w:t>
            </w:r>
          </w:p>
        </w:tc>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r>
      <w:tr>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5,001+</w:t>
            </w:r>
          </w:p>
        </w:tc>
        <w:tc>
          <w:tcPr>
            <w:tcW w:type="dxa" w:w="48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bl>
    <w:p>
      <w:pPr>
        <w:spacing w:after="120" w:line="276"/>
      </w:pPr>
      <w:r>
        <w:rPr>
          <w:rFonts w:ascii="Arial" w:cs="Arial" w:eastAsia="Arial" w:hAnsi="Arial"/>
          <w:sz w:val="22"/>
          <w:szCs w:val="22"/>
        </w:rPr>
        <w:t xml:space="preserve">All stop-loss levels are rounded to valid tick prices. Slippage model assumes 1 tick adverse per trade.</w:t>
      </w:r>
    </w:p>
    <w:p>
      <w:pPr>
        <w:pStyle w:val="Heading2"/>
        <w:spacing w:before="280" w:after="160"/>
      </w:pPr>
      <w:r>
        <w:rPr>
          <w:b/>
          <w:bCs/>
        </w:rPr>
        <w:t xml:space="preserve">7.4 Transaction Costs</w:t>
      </w:r>
    </w:p>
    <w:p>
      <w:pPr>
        <w:spacing w:after="120" w:line="276"/>
      </w:pPr>
      <w:r>
        <w:rPr>
          <w:rFonts w:ascii="Arial" w:cs="Arial" w:eastAsia="Arial" w:hAnsi="Arial"/>
          <w:sz w:val="22"/>
          <w:szCs w:val="22"/>
        </w:rPr>
        <w:t xml:space="preserve">Buy commission: 0.15% of trade value. Sell commission: 0.25% of trade value (includes 0.10% final income tax on selling). Total round-trip cost: approximately 0.40% plus 2 ticks of slippage. For a stock trading at Rp 5,000 (tick = Rp 25), the breakeven move is roughly 0.40% + 2×25/5000 = approximately 1.4%.</w:t>
      </w:r>
    </w:p>
    <w:p>
      <w:pPr>
        <w:pStyle w:val="Heading2"/>
        <w:spacing w:before="280" w:after="160"/>
      </w:pPr>
      <w:r>
        <w:rPr>
          <w:b/>
          <w:bCs/>
        </w:rPr>
        <w:t xml:space="preserve">7.5 T+2 Settlement</w:t>
      </w:r>
    </w:p>
    <w:p>
      <w:pPr>
        <w:spacing w:after="120" w:line="276"/>
      </w:pPr>
      <w:r>
        <w:rPr>
          <w:rFonts w:ascii="Arial" w:cs="Arial" w:eastAsia="Arial" w:hAnsi="Arial"/>
          <w:sz w:val="22"/>
          <w:szCs w:val="22"/>
        </w:rPr>
        <w:t xml:space="preserve">IDX uses T+2 settlement. Cash from selling is not available for 2 business days. The system reserves a 5% equity buffer to account for this. In backtesting, we do not model the exact settlement timing but maintain the buffer to prevent over-leveraging.</w:t>
      </w:r>
    </w:p>
    <w:p>
      <w:pPr>
        <w:pStyle w:val="Heading2"/>
        <w:spacing w:before="280" w:after="160"/>
      </w:pPr>
      <w:r>
        <w:rPr>
          <w:b/>
          <w:bCs/>
        </w:rPr>
        <w:t xml:space="preserve">7.6 Corporate Actions</w:t>
      </w:r>
    </w:p>
    <w:p>
      <w:pPr>
        <w:spacing w:after="120" w:line="276"/>
      </w:pPr>
      <w:r>
        <w:rPr>
          <w:rFonts w:ascii="Arial" w:cs="Arial" w:eastAsia="Arial" w:hAnsi="Arial"/>
          <w:sz w:val="22"/>
          <w:szCs w:val="22"/>
        </w:rPr>
        <w:t xml:space="preserve">Stock splits: Price data is adjusted (using adjusted close from Yahoo Finance). The system does not trade around split dates. Dividends: Cash dividends are added to portfolio cash on the ex-date. Rights issues: Not traded; existing positions are maintained at adjusted prices.</w:t>
      </w:r>
    </w:p>
    <w:p>
      <w:r>
        <w:br w:type="page"/>
      </w:r>
    </w:p>
    <w:p>
      <w:pPr>
        <w:pStyle w:val="Heading1"/>
        <w:spacing w:before="360" w:after="200"/>
      </w:pPr>
      <w:r>
        <w:rPr>
          <w:b/>
          <w:bCs/>
        </w:rPr>
        <w:t xml:space="preserve">8. Backtesting Methodology</w:t>
      </w:r>
    </w:p>
    <w:p>
      <w:pPr>
        <w:pStyle w:val="Heading2"/>
        <w:spacing w:before="280" w:after="160"/>
      </w:pPr>
      <w:r>
        <w:rPr>
          <w:b/>
          <w:bCs/>
        </w:rPr>
        <w:t xml:space="preserve">8.1 Engine Architecture</w:t>
      </w:r>
    </w:p>
    <w:p>
      <w:pPr>
        <w:spacing w:after="120" w:line="276"/>
      </w:pPr>
      <w:r>
        <w:rPr>
          <w:rFonts w:ascii="Arial" w:cs="Arial" w:eastAsia="Arial" w:hAnsi="Arial"/>
          <w:sz w:val="22"/>
          <w:szCs w:val="22"/>
        </w:rPr>
        <w:t xml:space="preserve">The backtester is event-driven, processing one trading day at a time in chronological order. On each day: (1) update portfolio mark-to-market, (2) check exit conditions, (3) execute pending entries from yesterday’s signals, (4) generate new signals for tomorrow. This strictly prevents look-ahead bias.</w:t>
      </w:r>
    </w:p>
    <w:p>
      <w:pPr>
        <w:pStyle w:val="Heading2"/>
        <w:spacing w:before="280" w:after="160"/>
      </w:pPr>
      <w:r>
        <w:rPr>
          <w:b/>
          <w:bCs/>
        </w:rPr>
        <w:t xml:space="preserve">8.2 Transaction Cost Model</w:t>
      </w:r>
    </w:p>
    <w:p>
      <w:pPr>
        <w:spacing w:after="120" w:line="276"/>
      </w:pPr>
      <w:r>
        <w:rPr>
          <w:rFonts w:ascii="Arial" w:cs="Arial" w:eastAsia="Arial" w:hAnsi="Arial"/>
          <w:sz w:val="22"/>
          <w:szCs w:val="22"/>
        </w:rPr>
        <w:t xml:space="preserve">Buy: 0.15% commission + 1 tick upward slippage. Sell: 0.25% commission + 1 tick downward slippage. Tick size is determined by the stock’s price level at execution time. All costs are deducted from portfolio cash at the time of trade execution.</w:t>
      </w:r>
    </w:p>
    <w:p>
      <w:pPr>
        <w:pStyle w:val="Heading2"/>
        <w:spacing w:before="280" w:after="160"/>
      </w:pPr>
      <w:r>
        <w:rPr>
          <w:b/>
          <w:bCs/>
        </w:rPr>
        <w:t xml:space="preserve">8.3 Performance Metrics</w:t>
      </w:r>
    </w:p>
    <w:p>
      <w:pPr>
        <w:spacing w:after="120" w:line="276"/>
      </w:pPr>
      <w:r>
        <w:rPr>
          <w:rFonts w:ascii="Arial" w:cs="Arial" w:eastAsia="Arial" w:hAnsi="Arial"/>
          <w:sz w:val="22"/>
          <w:szCs w:val="22"/>
        </w:rPr>
        <w:t xml:space="preserve">The system computes and reports: Total Return (absolute and CAGR), Maximum Drawdown (peak-to-trough), Sharpe Ratio (using Bank Indonesia rate as risk-free), Sortino Ratio, Calmar Ratio, Win Rate, Profit Factor, Average Win vs Average Loss, Average Holding Period, Maximum Consecutive Losses, Exposure Time, and Monthly/Yearly return breakdown. All results are compared against buy-and-hold IHSG over the same period.</w:t>
      </w:r>
    </w:p>
    <w:p>
      <w:pPr>
        <w:pStyle w:val="Heading2"/>
        <w:spacing w:before="280" w:after="160"/>
      </w:pPr>
      <w:r>
        <w:rPr>
          <w:b/>
          <w:bCs/>
        </w:rPr>
        <w:t xml:space="preserve">8.4 Default Parameters</w:t>
      </w:r>
    </w:p>
    <w:p>
      <w:pPr>
        <w:spacing w:after="120" w:line="276"/>
      </w:pPr>
      <w:r>
        <w:rPr>
          <w:rFonts w:ascii="Arial" w:cs="Arial" w:eastAsia="Arial" w:hAnsi="Arial"/>
          <w:sz w:val="22"/>
          <w:szCs w:val="22"/>
        </w:rPr>
        <w:t xml:space="preserve">Initial capital: Rp 1,000,000,000 (1 billion). Backtest period: 2021-01-01 to 2024-12-31. Risk-free rate: 6% (Bank Indonesia reference rate). Benchmark: IHSG (^JKSE).</w:t>
      </w:r>
    </w:p>
    <w:p>
      <w:pPr>
        <w:spacing w:after="120" w:line="276"/>
      </w:pPr>
      <w:r>
        <w:rPr>
          <w:rFonts w:ascii="Arial" w:cs="Arial" w:eastAsia="Arial" w:hAnsi="Arial"/>
          <w:sz w:val="22"/>
          <w:szCs w:val="22"/>
        </w:rPr>
        <w:t xml:space="preserve">All parameters are conservative defaults chosen for robustness across market cycles. Users should validate parameter sensitivity before deploying with real capital.</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IDX Swing Trading Framework —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565C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2026-03-20T12:12:14.615Z</dcterms:created>
  <dcterms:modified xsi:type="dcterms:W3CDTF">2026-03-20T12:12:14.635Z</dcterms:modified>
</cp:coreProperties>
</file>

<file path=docProps/custom.xml><?xml version="1.0" encoding="utf-8"?>
<Properties xmlns="http://schemas.openxmlformats.org/officeDocument/2006/custom-properties" xmlns:vt="http://schemas.openxmlformats.org/officeDocument/2006/docPropsVTypes"/>
</file>