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rFonts w:ascii="Arial" w:cs="Arial" w:eastAsia="Arial" w:hAnsi="Arial"/>
          <w:color w:val="2E75B6"/>
          <w:spacing w:val="200"/>
          <w:sz w:val="24"/>
          <w:szCs w:val="24"/>
        </w:rPr>
        <w:t xml:space="preserve">CREATIVE BRIEF</w:t>
      </w:r>
    </w:p>
    <w:p>
      <w:pPr>
        <w:spacing w:after="200"/>
        <w:jc w:val="center"/>
      </w:pPr>
      <w:r>
        <w:rPr>
          <w:rFonts w:ascii="Arial" w:cs="Arial" w:eastAsia="Arial" w:hAnsi="Arial"/>
          <w:b/>
          <w:bCs/>
          <w:color w:val="1F3864"/>
          <w:sz w:val="56"/>
          <w:szCs w:val="56"/>
        </w:rPr>
        <w:t xml:space="preserve">AI Builders Portal</w:t>
      </w:r>
    </w:p>
    <w:p>
      <w:pPr>
        <w:pBdr>
          <w:top w:val="single" w:color="C55A11" w:sz="4" w:space="8"/>
        </w:pBdr>
        <w:spacing w:after="80"/>
        <w:jc w:val="center"/>
      </w:pPr>
      <w:r>
        <w:rPr>
          <w:rFonts w:ascii="Arial" w:cs="Arial" w:eastAsia="Arial" w:hAnsi="Arial"/>
          <w:i/>
          <w:iCs/>
          <w:color w:val="2D2D2D"/>
          <w:sz w:val="24"/>
          <w:szCs w:val="24"/>
        </w:rPr>
        <w:t xml:space="preserve">Accessing new opportunities in a changing world,</w:t>
      </w:r>
    </w:p>
    <w:p>
      <w:pPr>
        <w:spacing w:after="400"/>
        <w:jc w:val="center"/>
      </w:pPr>
      <w:r>
        <w:rPr>
          <w:rFonts w:ascii="Arial" w:cs="Arial" w:eastAsia="Arial" w:hAnsi="Arial"/>
          <w:i/>
          <w:iCs/>
          <w:color w:val="2D2D2D"/>
          <w:sz w:val="24"/>
          <w:szCs w:val="24"/>
        </w:rPr>
        <w:t xml:space="preserve">with a community by your side.</w:t>
      </w:r>
    </w:p>
    <w:p>
      <w:pPr>
        <w:spacing w:after="1600"/>
      </w:pPr>
    </w:p>
    <w:p>
      <w:pPr>
        <w:jc w:val="center"/>
      </w:pPr>
      <w:r>
        <w:rPr>
          <w:rFonts w:ascii="Arial" w:cs="Arial" w:eastAsia="Arial" w:hAnsi="Arial"/>
          <w:color w:val="2E75B6"/>
          <w:sz w:val="22"/>
          <w:szCs w:val="22"/>
        </w:rPr>
        <w:t xml:space="preserve">April 2026</w:t>
      </w:r>
    </w:p>
    <w:p>
      <w:pPr>
        <w:spacing w:after="80"/>
        <w:jc w:val="center"/>
      </w:pPr>
      <w:r>
        <w:rPr>
          <w:rFonts w:ascii="Arial" w:cs="Arial" w:eastAsia="Arial" w:hAnsi="Arial"/>
          <w:color w:val="2E75B6"/>
          <w:sz w:val="22"/>
          <w:szCs w:val="22"/>
        </w:rPr>
        <w:t xml:space="preserve">AI Builders Program</w:t>
      </w:r>
    </w:p>
    <w:p>
      <w:pPr>
        <w:sectPr>
          <w:pgSz w:w="12240" w:h="15840" w:orient="portrait"/>
          <w:pgMar w:top="1440" w:right="1440" w:bottom="1440" w:left="1440" w:header="708" w:footer="708" w:gutter="0"/>
          <w:pgNumType/>
          <w:docGrid w:linePitch="360"/>
        </w:sectPr>
      </w:pPr>
    </w:p>
    <w:p>
      <w:pPr>
        <w:pStyle w:val="Heading1"/>
      </w:pPr>
      <w:r>
        <w:rPr>
          <w:color w:val="1F3864"/>
        </w:rPr>
        <w:t xml:space="preserve">1. Vision</w:t>
      </w:r>
    </w:p>
    <w:p>
      <w:pPr>
        <w:spacing w:after="160" w:line="300"/>
      </w:pPr>
      <w:r>
        <w:rPr>
          <w:rFonts w:ascii="Arial" w:cs="Arial" w:eastAsia="Arial" w:hAnsi="Arial"/>
          <w:color w:val="2D2D2D"/>
          <w:sz w:val="22"/>
          <w:szCs w:val="22"/>
        </w:rPr>
        <w:t xml:space="preserve">The AI Builders Portal is the digital home for professionals who are investing in themselves to access new opportunities in a world being reshaped by AI. It serves people working inside enterprises who have decided to develop the capability to discover problems, prototype solutions, and advocate for change—with AI as their building partner and a community of practitioners by their side.</w:t>
      </w:r>
    </w:p>
    <w:p>
      <w:pPr>
        <w:spacing w:after="160" w:line="300"/>
      </w:pPr>
      <w:r>
        <w:rPr>
          <w:rFonts w:ascii="Arial" w:cs="Arial" w:eastAsia="Arial" w:hAnsi="Arial"/>
          <w:color w:val="2D2D2D"/>
          <w:sz w:val="22"/>
          <w:szCs w:val="22"/>
        </w:rPr>
        <w:t xml:space="preserve">This is not a course platform. It is a community of practice with a structured progression, where people develop professional judgment through building, reflecting, presenting, and navigating their organizations. The portal supports every phase of that journey: from first exposure to independent discovery and organizational advocacy.</w:t>
      </w:r>
    </w:p>
    <w:p>
      <w:pPr>
        <w:pBdr>
          <w:bottom w:val="single" w:color="2E75B6" w:sz="4" w:space="1"/>
        </w:pBdr>
        <w:spacing w:after="200" w:before="200"/>
      </w:pPr>
    </w:p>
    <w:p>
      <w:pPr>
        <w:pStyle w:val="Heading1"/>
      </w:pPr>
      <w:r>
        <w:rPr>
          <w:color w:val="1F3864"/>
        </w:rPr>
        <w:t xml:space="preserve">2. Through-Line: Professional Judgment</w:t>
      </w:r>
    </w:p>
    <w:p>
      <w:pPr>
        <w:spacing w:after="160" w:line="300"/>
      </w:pPr>
      <w:r>
        <w:rPr>
          <w:rFonts w:ascii="Arial" w:cs="Arial" w:eastAsia="Arial" w:hAnsi="Arial"/>
          <w:color w:val="2D2D2D"/>
          <w:sz w:val="22"/>
          <w:szCs w:val="22"/>
        </w:rPr>
        <w:t xml:space="preserve">Every element of the portal serves one purpose: the development of professional judgment. Judgment is not a topic to be taught. It is what accumulates when someone makes decisions, sees consequences, gets feedback, and recalibrates. The portal’s design, content structure, and community mechanisms all exist to accelerate that accumulation.</w:t>
      </w:r>
    </w:p>
    <w:p>
      <w:pPr>
        <w:spacing w:after="160" w:line="300"/>
      </w:pPr>
      <w:r>
        <w:rPr>
          <w:rFonts w:ascii="Arial" w:cs="Arial" w:eastAsia="Arial" w:hAnsi="Arial"/>
          <w:color w:val="2D2D2D"/>
          <w:sz w:val="22"/>
          <w:szCs w:val="22"/>
        </w:rPr>
        <w:t xml:space="preserve">Judgment manifests differently at each phase of the journey:</w:t>
      </w:r>
    </w:p>
    <w:p>
      <w:pPr>
        <w:pStyle w:val="ListParagraph"/>
        <w:numPr>
          <w:ilvl w:val="0"/>
          <w:numId w:val="2"/>
        </w:numPr>
        <w:spacing w:after="80" w:line="280"/>
      </w:pPr>
      <w:r>
        <w:rPr>
          <w:rFonts w:ascii="Arial" w:cs="Arial" w:eastAsia="Arial" w:hAnsi="Arial"/>
          <w:b/>
          <w:bCs/>
          <w:color w:val="2D2D2D"/>
          <w:sz w:val="22"/>
          <w:szCs w:val="22"/>
        </w:rPr>
        <w:t xml:space="preserve">Intuition. </w:t>
      </w:r>
      <w:r>
        <w:rPr>
          <w:rFonts w:ascii="Arial" w:cs="Arial" w:eastAsia="Arial" w:hAnsi="Arial"/>
          <w:color w:val="2D2D2D"/>
          <w:sz w:val="22"/>
          <w:szCs w:val="22"/>
        </w:rPr>
        <w:t xml:space="preserve">The feel for how the environment works—what happens when you change something, where errors surface, what a well-structured project feels like. This comes from exposure, exploration, and observation.</w:t>
      </w:r>
    </w:p>
    <w:p>
      <w:pPr>
        <w:pStyle w:val="ListParagraph"/>
        <w:numPr>
          <w:ilvl w:val="0"/>
          <w:numId w:val="2"/>
        </w:numPr>
        <w:spacing w:after="80" w:line="280"/>
      </w:pPr>
      <w:r>
        <w:rPr>
          <w:rFonts w:ascii="Arial" w:cs="Arial" w:eastAsia="Arial" w:hAnsi="Arial"/>
          <w:b/>
          <w:bCs/>
          <w:color w:val="2D2D2D"/>
          <w:sz w:val="22"/>
          <w:szCs w:val="22"/>
        </w:rPr>
        <w:t xml:space="preserve">Deliberation. </w:t>
      </w:r>
      <w:r>
        <w:rPr>
          <w:rFonts w:ascii="Arial" w:cs="Arial" w:eastAsia="Arial" w:hAnsi="Arial"/>
          <w:color w:val="2D2D2D"/>
          <w:sz w:val="22"/>
          <w:szCs w:val="22"/>
        </w:rPr>
        <w:t xml:space="preserve">The ability to name decisions, weigh trade-offs, and articulate reasoning. This comes from building under constraints with community feedback.</w:t>
      </w:r>
    </w:p>
    <w:p>
      <w:pPr>
        <w:pStyle w:val="ListParagraph"/>
        <w:numPr>
          <w:ilvl w:val="0"/>
          <w:numId w:val="2"/>
        </w:numPr>
        <w:spacing w:after="80" w:line="280"/>
      </w:pPr>
      <w:r>
        <w:rPr>
          <w:rFonts w:ascii="Arial" w:cs="Arial" w:eastAsia="Arial" w:hAnsi="Arial"/>
          <w:b/>
          <w:bCs/>
          <w:color w:val="2D2D2D"/>
          <w:sz w:val="22"/>
          <w:szCs w:val="22"/>
        </w:rPr>
        <w:t xml:space="preserve">Navigation. </w:t>
      </w:r>
      <w:r>
        <w:rPr>
          <w:rFonts w:ascii="Arial" w:cs="Arial" w:eastAsia="Arial" w:hAnsi="Arial"/>
          <w:color w:val="2D2D2D"/>
          <w:sz w:val="22"/>
          <w:szCs w:val="22"/>
        </w:rPr>
        <w:t xml:space="preserve">The ability to find problems, shape solutions, and bring people along in an organizational context. This comes from independent discovery and advocacy.</w:t>
      </w:r>
    </w:p>
    <w:p>
      <w:pPr>
        <w:spacing w:after="160" w:line="300"/>
      </w:pPr>
      <w:r>
        <w:rPr>
          <w:rFonts w:ascii="Arial" w:cs="Arial" w:eastAsia="Arial" w:hAnsi="Arial"/>
          <w:color w:val="2D2D2D"/>
          <w:sz w:val="22"/>
          <w:szCs w:val="22"/>
        </w:rPr>
        <w:t xml:space="preserve">The portal does not label these phases or announce that “you are now developing judgment.” Sometimes you’re just walking through an example application learning how hot module reload interacts with a proxy. The disposition being built—the instinct to insist on visibility, to see debugging as power, to reject black boxes—is itself a form of judgment.</w:t>
      </w:r>
    </w:p>
    <w:p>
      <w:pPr>
        <w:pBdr>
          <w:bottom w:val="single" w:color="2E75B6" w:sz="4" w:space="1"/>
        </w:pBdr>
        <w:spacing w:after="200" w:before="200"/>
      </w:pPr>
    </w:p>
    <w:p>
      <w:pPr>
        <w:pStyle w:val="Heading1"/>
      </w:pPr>
      <w:r>
        <w:rPr>
          <w:color w:val="1F3864"/>
        </w:rPr>
        <w:t xml:space="preserve">3. Persona</w:t>
      </w:r>
    </w:p>
    <w:p>
      <w:pPr>
        <w:spacing w:after="160" w:line="300"/>
      </w:pPr>
      <w:r>
        <w:rPr>
          <w:rFonts w:ascii="Arial" w:cs="Arial" w:eastAsia="Arial" w:hAnsi="Arial"/>
          <w:color w:val="2D2D2D"/>
          <w:sz w:val="22"/>
          <w:szCs w:val="22"/>
        </w:rPr>
        <w:t xml:space="preserve">The portal serves one persona across three phases of development. This is not three different user types—it is the same person at different points in their journey.</w:t>
      </w:r>
    </w:p>
    <w:p>
      <w:pPr>
        <w:pStyle w:val="Heading2"/>
      </w:pPr>
      <w:r>
        <w:rPr>
          <w:color w:val="1F3864"/>
        </w:rPr>
        <w:t xml:space="preserve">3.1 The Person</w:t>
      </w:r>
    </w:p>
    <w:p>
      <w:pPr>
        <w:spacing w:after="160" w:line="300"/>
      </w:pPr>
      <w:r>
        <w:rPr>
          <w:rFonts w:ascii="Arial" w:cs="Arial" w:eastAsia="Arial" w:hAnsi="Arial"/>
          <w:color w:val="2D2D2D"/>
          <w:sz w:val="22"/>
          <w:szCs w:val="22"/>
        </w:rPr>
        <w:t xml:space="preserve">An enterprise professional who sees AI changing their world and chooses agency over displacement. They may be in operations, business analysis, project management, or lending—their current title is less important than their decision to invest. They are not becoming “a developer.” They are becoming someone who can discover problems, prototype solutions, advocate for resources, and ship.</w:t>
      </w:r>
    </w:p>
    <w:p>
      <w:pPr>
        <w:pStyle w:val="Heading2"/>
      </w:pPr>
      <w:r>
        <w:rPr>
          <w:color w:val="1F3864"/>
        </w:rPr>
        <w:t xml:space="preserve">3.2 Phase 1: Developing Intuition</w:t>
      </w:r>
    </w:p>
    <w:p>
      <w:pPr>
        <w:spacing w:after="160" w:line="300"/>
      </w:pPr>
      <w:r>
        <w:rPr>
          <w:rFonts w:ascii="Arial" w:cs="Arial" w:eastAsia="Arial" w:hAnsi="Arial"/>
          <w:color w:val="2D2D2D"/>
          <w:sz w:val="22"/>
          <w:szCs w:val="22"/>
        </w:rPr>
        <w:t xml:space="preserve">They just arrived. They’ve been told AI matters but don’t know what building means yet. They need to see other people doing it. They need scaffolded challenges where the decisions are mostly made for them and they’re executing steps. They’re watching community sessions, not presenting. Their relationship to their organization is “I’m learning something new.”</w:t>
      </w:r>
    </w:p>
    <w:p>
      <w:pPr>
        <w:spacing w:after="160" w:line="300"/>
      </w:pPr>
      <w:r>
        <w:rPr>
          <w:rFonts w:ascii="Arial" w:cs="Arial" w:eastAsia="Arial" w:hAnsi="Arial"/>
          <w:b/>
          <w:bCs/>
          <w:color w:val="2D2D2D"/>
          <w:sz w:val="22"/>
          <w:szCs w:val="22"/>
        </w:rPr>
        <w:t xml:space="preserve">Core need: </w:t>
      </w:r>
      <w:r>
        <w:rPr>
          <w:rFonts w:ascii="Arial" w:cs="Arial" w:eastAsia="Arial" w:hAnsi="Arial"/>
          <w:color w:val="2D2D2D"/>
          <w:sz w:val="22"/>
          <w:szCs w:val="22"/>
        </w:rPr>
        <w:t xml:space="preserve">Help me understand what building with AI actually looks like, so I can develop a feel for the environment and see that I belong here.</w:t>
      </w:r>
    </w:p>
    <w:p>
      <w:pPr>
        <w:pStyle w:val="Heading2"/>
      </w:pPr>
      <w:r>
        <w:rPr>
          <w:color w:val="1F3864"/>
        </w:rPr>
        <w:t xml:space="preserve">3.3 Phase 2: Exercising Judgment with Support</w:t>
      </w:r>
    </w:p>
    <w:p>
      <w:pPr>
        <w:spacing w:after="160" w:line="300"/>
      </w:pPr>
      <w:r>
        <w:rPr>
          <w:rFonts w:ascii="Arial" w:cs="Arial" w:eastAsia="Arial" w:hAnsi="Arial"/>
          <w:color w:val="2D2D2D"/>
          <w:sz w:val="22"/>
          <w:szCs w:val="22"/>
        </w:rPr>
        <w:t xml:space="preserve">Something clicked. They can set up an environment, deploy something, read logs, fix a broken thing. Now they take on defined projects where they make real decisions about architecture, data, and design. They’re presenting their work. They’re noticing problems in their organization that connect to what they’re learning.</w:t>
      </w:r>
    </w:p>
    <w:p>
      <w:pPr>
        <w:spacing w:after="160" w:line="300"/>
      </w:pPr>
      <w:r>
        <w:rPr>
          <w:rFonts w:ascii="Arial" w:cs="Arial" w:eastAsia="Arial" w:hAnsi="Arial"/>
          <w:b/>
          <w:bCs/>
          <w:color w:val="2D2D2D"/>
          <w:sz w:val="22"/>
          <w:szCs w:val="22"/>
        </w:rPr>
        <w:t xml:space="preserve">Core need: </w:t>
      </w:r>
      <w:r>
        <w:rPr>
          <w:rFonts w:ascii="Arial" w:cs="Arial" w:eastAsia="Arial" w:hAnsi="Arial"/>
          <w:color w:val="2D2D2D"/>
          <w:sz w:val="22"/>
          <w:szCs w:val="22"/>
        </w:rPr>
        <w:t xml:space="preserve">Help me build something real and develop judgment about the choices I’m making, so I can start to see where this applies in my actual work.</w:t>
      </w:r>
    </w:p>
    <w:p>
      <w:pPr>
        <w:pStyle w:val="Heading2"/>
      </w:pPr>
      <w:r>
        <w:rPr>
          <w:color w:val="1F3864"/>
        </w:rPr>
        <w:t xml:space="preserve">3.4 Phase 3: Navigating Ambiguity Independently</w:t>
      </w:r>
    </w:p>
    <w:p>
      <w:pPr>
        <w:spacing w:after="160" w:line="300"/>
      </w:pPr>
      <w:r>
        <w:rPr>
          <w:rFonts w:ascii="Arial" w:cs="Arial" w:eastAsia="Arial" w:hAnsi="Arial"/>
          <w:color w:val="2D2D2D"/>
          <w:sz w:val="22"/>
          <w:szCs w:val="22"/>
        </w:rPr>
        <w:t xml:space="preserve">They’ve shipped. They understand infrastructure, design, and their organization well enough to find a partner and pitch a project. They’re doing their own discovery, creating prototypes, recording videos, writing one-pagers, and presenting regularly.</w:t>
      </w:r>
    </w:p>
    <w:p>
      <w:pPr>
        <w:spacing w:after="160" w:line="300"/>
      </w:pPr>
      <w:r>
        <w:rPr>
          <w:rFonts w:ascii="Arial" w:cs="Arial" w:eastAsia="Arial" w:hAnsi="Arial"/>
          <w:b/>
          <w:bCs/>
          <w:color w:val="2D2D2D"/>
          <w:sz w:val="22"/>
          <w:szCs w:val="22"/>
        </w:rPr>
        <w:t xml:space="preserve">Core need: </w:t>
      </w:r>
      <w:r>
        <w:rPr>
          <w:rFonts w:ascii="Arial" w:cs="Arial" w:eastAsia="Arial" w:hAnsi="Arial"/>
          <w:color w:val="2D2D2D"/>
          <w:sz w:val="22"/>
          <w:szCs w:val="22"/>
        </w:rPr>
        <w:t xml:space="preserve">Help me discover, shape, and advocate for AI solutions in my organization—and give me a community that sharpens my thinking and holds me accountable.</w:t>
      </w:r>
    </w:p>
    <w:p>
      <w:pPr>
        <w:pBdr>
          <w:bottom w:val="single" w:color="2E75B6" w:sz="4" w:space="1"/>
        </w:pBdr>
        <w:spacing w:after="200" w:before="200"/>
      </w:pPr>
    </w:p>
    <w:p>
      <w:pPr>
        <w:pStyle w:val="Heading1"/>
      </w:pPr>
      <w:r>
        <w:rPr>
          <w:color w:val="1F3864"/>
        </w:rPr>
        <w:t xml:space="preserve">4. Jobs to Be Done</w:t>
      </w:r>
    </w:p>
    <w:p>
      <w:pPr>
        <w:spacing w:after="160" w:line="300"/>
      </w:pPr>
      <w:r>
        <w:rPr>
          <w:rFonts w:ascii="Arial" w:cs="Arial" w:eastAsia="Arial" w:hAnsi="Arial"/>
          <w:color w:val="2D2D2D"/>
          <w:sz w:val="22"/>
          <w:szCs w:val="22"/>
        </w:rPr>
        <w:t xml:space="preserve">These are the specific moments when someone reaches for the portal. Each implies a distinct interaction pattern and set of design system components.</w:t>
      </w:r>
    </w:p>
    <w:p>
      <w:pPr>
        <w:spacing w:after="80" w:before="200"/>
      </w:pPr>
      <w:r>
        <w:rPr>
          <w:rFonts w:ascii="Arial" w:cs="Arial" w:eastAsia="Arial" w:hAnsi="Arial"/>
          <w:b/>
          <w:bCs/>
          <w:color w:val="2E75B6"/>
          <w:sz w:val="22"/>
          <w:szCs w:val="22"/>
        </w:rPr>
        <w:t xml:space="preserve">JTBD 1: “I’ve set aside time to invest in myself—what should I work on?”</w:t>
      </w:r>
    </w:p>
    <w:p>
      <w:pPr>
        <w:spacing w:after="160" w:line="300"/>
      </w:pPr>
      <w:r>
        <w:rPr>
          <w:rFonts w:ascii="Arial" w:cs="Arial" w:eastAsia="Arial" w:hAnsi="Arial"/>
          <w:color w:val="2D2D2D"/>
          <w:sz w:val="22"/>
          <w:szCs w:val="22"/>
        </w:rPr>
        <w:t xml:space="preserve">They arrive with energy and a block of time. They need a challenge that meets them where they are. Early on, that’s a guided walkthrough. Later, it’s a constrained project with real decisions. Eventually, it’s a discovery prompt that sends them into their own organization. The portal orients them quickly: here’s where you are, here’s what’s next, here’s what you’ll submit.</w:t>
      </w:r>
    </w:p>
    <w:p>
      <w:pPr>
        <w:spacing w:after="160" w:line="300"/>
      </w:pPr>
      <w:r>
        <w:rPr>
          <w:rFonts w:ascii="Arial" w:cs="Arial" w:eastAsia="Arial" w:hAnsi="Arial"/>
          <w:b/>
          <w:bCs/>
          <w:color w:val="2D2D2D"/>
          <w:sz w:val="22"/>
          <w:szCs w:val="22"/>
        </w:rPr>
        <w:t xml:space="preserve">Primary components: </w:t>
      </w:r>
      <w:r>
        <w:rPr>
          <w:rFonts w:ascii="Arial" w:cs="Arial" w:eastAsia="Arial" w:hAnsi="Arial"/>
          <w:color w:val="2D2D2D"/>
          <w:sz w:val="22"/>
          <w:szCs w:val="22"/>
        </w:rPr>
        <w:t xml:space="preserve">Journey Map, Challenge Card, Profile</w:t>
      </w:r>
    </w:p>
    <w:p>
      <w:pPr>
        <w:spacing w:after="80" w:before="200"/>
      </w:pPr>
      <w:r>
        <w:rPr>
          <w:rFonts w:ascii="Arial" w:cs="Arial" w:eastAsia="Arial" w:hAnsi="Arial"/>
          <w:b/>
          <w:bCs/>
          <w:color w:val="2E75B6"/>
          <w:sz w:val="22"/>
          <w:szCs w:val="22"/>
        </w:rPr>
        <w:t xml:space="preserve">JTBD 2: “I’m building and I need to understand how something works.”</w:t>
      </w:r>
    </w:p>
    <w:p>
      <w:pPr>
        <w:spacing w:after="160" w:line="300"/>
      </w:pPr>
      <w:r>
        <w:rPr>
          <w:rFonts w:ascii="Arial" w:cs="Arial" w:eastAsia="Arial" w:hAnsi="Arial"/>
          <w:color w:val="2D2D2D"/>
          <w:sz w:val="22"/>
          <w:szCs w:val="22"/>
        </w:rPr>
        <w:t xml:space="preserve">They hit a wall—proxies, authentication flows, data schemas, deployment. They need reference material contextualized to what they’re building. They want to understand the physics of the environment so they’re in power to fix things, not just get past the immediate blocker.</w:t>
      </w:r>
    </w:p>
    <w:p>
      <w:pPr>
        <w:spacing w:after="160" w:line="300"/>
      </w:pPr>
      <w:r>
        <w:rPr>
          <w:rFonts w:ascii="Arial" w:cs="Arial" w:eastAsia="Arial" w:hAnsi="Arial"/>
          <w:b/>
          <w:bCs/>
          <w:color w:val="2D2D2D"/>
          <w:sz w:val="22"/>
          <w:szCs w:val="22"/>
        </w:rPr>
        <w:t xml:space="preserve">Primary components: </w:t>
      </w:r>
      <w:r>
        <w:rPr>
          <w:rFonts w:ascii="Arial" w:cs="Arial" w:eastAsia="Arial" w:hAnsi="Arial"/>
          <w:color w:val="2D2D2D"/>
          <w:sz w:val="22"/>
          <w:szCs w:val="22"/>
        </w:rPr>
        <w:t xml:space="preserve">Reference Panel, Artifact Renderer</w:t>
      </w:r>
    </w:p>
    <w:p>
      <w:pPr>
        <w:spacing w:after="80" w:before="200"/>
      </w:pPr>
      <w:r>
        <w:rPr>
          <w:rFonts w:ascii="Arial" w:cs="Arial" w:eastAsia="Arial" w:hAnsi="Arial"/>
          <w:b/>
          <w:bCs/>
          <w:color w:val="2E75B6"/>
          <w:sz w:val="22"/>
          <w:szCs w:val="22"/>
        </w:rPr>
        <w:t xml:space="preserve">JTBD 3: “I finished something and I want to show my work and reasoning.”</w:t>
      </w:r>
    </w:p>
    <w:p>
      <w:pPr>
        <w:spacing w:after="160" w:line="300"/>
      </w:pPr>
      <w:r>
        <w:rPr>
          <w:rFonts w:ascii="Arial" w:cs="Arial" w:eastAsia="Arial" w:hAnsi="Arial"/>
          <w:color w:val="2D2D2D"/>
          <w:sz w:val="22"/>
          <w:szCs w:val="22"/>
        </w:rPr>
        <w:t xml:space="preserve">They’ve completed a challenge or self-directed project. They submit the running code itself (as an Artifact) and a structured Devlog capturing their reasoning—architecture choices, design choices, what they’d do differently. The structured reflection develops the vocabulary to articulate judgment.</w:t>
      </w:r>
    </w:p>
    <w:p>
      <w:pPr>
        <w:spacing w:after="160" w:line="300"/>
      </w:pPr>
      <w:r>
        <w:rPr>
          <w:rFonts w:ascii="Arial" w:cs="Arial" w:eastAsia="Arial" w:hAnsi="Arial"/>
          <w:b/>
          <w:bCs/>
          <w:color w:val="2D2D2D"/>
          <w:sz w:val="22"/>
          <w:szCs w:val="22"/>
        </w:rPr>
        <w:t xml:space="preserve">Primary components: </w:t>
      </w:r>
      <w:r>
        <w:rPr>
          <w:rFonts w:ascii="Arial" w:cs="Arial" w:eastAsia="Arial" w:hAnsi="Arial"/>
          <w:color w:val="2D2D2D"/>
          <w:sz w:val="22"/>
          <w:szCs w:val="22"/>
        </w:rPr>
        <w:t xml:space="preserve">Artifact Renderer, Devlog, Video Viewer</w:t>
      </w:r>
    </w:p>
    <w:p>
      <w:pPr>
        <w:spacing w:after="80" w:before="200"/>
      </w:pPr>
      <w:r>
        <w:rPr>
          <w:rFonts w:ascii="Arial" w:cs="Arial" w:eastAsia="Arial" w:hAnsi="Arial"/>
          <w:b/>
          <w:bCs/>
          <w:color w:val="2E75B6"/>
          <w:sz w:val="22"/>
          <w:szCs w:val="22"/>
        </w:rPr>
        <w:t xml:space="preserve">JTBD 4: “I want to see how other people approached this.”</w:t>
      </w:r>
    </w:p>
    <w:p>
      <w:pPr>
        <w:spacing w:after="160" w:line="300"/>
      </w:pPr>
      <w:r>
        <w:rPr>
          <w:rFonts w:ascii="Arial" w:cs="Arial" w:eastAsia="Arial" w:hAnsi="Arial"/>
          <w:color w:val="2D2D2D"/>
          <w:sz w:val="22"/>
          <w:szCs w:val="22"/>
        </w:rPr>
        <w:t xml:space="preserve">They browse showcase work: running artifacts paired with devlogs from peers. Phase 1 people develop intuition by seeing decisions made visible. Phase 2–3 people sharpen their thinking by comparing reasoning. Recorded community presentations with live feedback also live here.</w:t>
      </w:r>
    </w:p>
    <w:p>
      <w:pPr>
        <w:spacing w:after="160" w:line="300"/>
      </w:pPr>
      <w:r>
        <w:rPr>
          <w:rFonts w:ascii="Arial" w:cs="Arial" w:eastAsia="Arial" w:hAnsi="Arial"/>
          <w:b/>
          <w:bCs/>
          <w:color w:val="2D2D2D"/>
          <w:sz w:val="22"/>
          <w:szCs w:val="22"/>
        </w:rPr>
        <w:t xml:space="preserve">Primary components: </w:t>
      </w:r>
      <w:r>
        <w:rPr>
          <w:rFonts w:ascii="Arial" w:cs="Arial" w:eastAsia="Arial" w:hAnsi="Arial"/>
          <w:color w:val="2D2D2D"/>
          <w:sz w:val="22"/>
          <w:szCs w:val="22"/>
        </w:rPr>
        <w:t xml:space="preserve">Showcase Gallery, Artifact Renderer, Devlog, Video Viewer</w:t>
      </w:r>
    </w:p>
    <w:p>
      <w:pPr>
        <w:spacing w:after="80" w:before="200"/>
      </w:pPr>
      <w:r>
        <w:rPr>
          <w:rFonts w:ascii="Arial" w:cs="Arial" w:eastAsia="Arial" w:hAnsi="Arial"/>
          <w:b/>
          <w:bCs/>
          <w:color w:val="2E75B6"/>
          <w:sz w:val="22"/>
          <w:szCs w:val="22"/>
        </w:rPr>
        <w:t xml:space="preserve">JTBD 5: “I’m preparing to present my work or pitch to leadership.”</w:t>
      </w:r>
    </w:p>
    <w:p>
      <w:pPr>
        <w:spacing w:after="160" w:line="300"/>
      </w:pPr>
      <w:r>
        <w:rPr>
          <w:rFonts w:ascii="Arial" w:cs="Arial" w:eastAsia="Arial" w:hAnsi="Arial"/>
          <w:color w:val="2D2D2D"/>
          <w:sz w:val="22"/>
          <w:szCs w:val="22"/>
        </w:rPr>
        <w:t xml:space="preserve">They need to practice articulating their work for an audience outside the learning community. Themed Live Rooms provide rehearsal space where peers all work on the same skill: presenting discovery work to leadership. Templates and frameworks support creating organizational artifacts.</w:t>
      </w:r>
    </w:p>
    <w:p>
      <w:pPr>
        <w:spacing w:after="160" w:line="300"/>
      </w:pPr>
      <w:r>
        <w:rPr>
          <w:rFonts w:ascii="Arial" w:cs="Arial" w:eastAsia="Arial" w:hAnsi="Arial"/>
          <w:b/>
          <w:bCs/>
          <w:color w:val="2D2D2D"/>
          <w:sz w:val="22"/>
          <w:szCs w:val="22"/>
        </w:rPr>
        <w:t xml:space="preserve">Primary components: </w:t>
      </w:r>
      <w:r>
        <w:rPr>
          <w:rFonts w:ascii="Arial" w:cs="Arial" w:eastAsia="Arial" w:hAnsi="Arial"/>
          <w:color w:val="2D2D2D"/>
          <w:sz w:val="22"/>
          <w:szCs w:val="22"/>
        </w:rPr>
        <w:t xml:space="preserve">Live Room, Go-to-Market Toolkit, Video Viewer</w:t>
      </w:r>
    </w:p>
    <w:p>
      <w:pPr>
        <w:spacing w:after="80" w:before="200"/>
      </w:pPr>
      <w:r>
        <w:rPr>
          <w:rFonts w:ascii="Arial" w:cs="Arial" w:eastAsia="Arial" w:hAnsi="Arial"/>
          <w:b/>
          <w:bCs/>
          <w:color w:val="2E75B6"/>
          <w:sz w:val="22"/>
          <w:szCs w:val="22"/>
        </w:rPr>
        <w:t xml:space="preserve">JTBD 6: “I want to share what I’ve done with my manager or colleagues.”</w:t>
      </w:r>
    </w:p>
    <w:p>
      <w:pPr>
        <w:spacing w:after="160" w:line="300"/>
      </w:pPr>
      <w:r>
        <w:rPr>
          <w:rFonts w:ascii="Arial" w:cs="Arial" w:eastAsia="Arial" w:hAnsi="Arial"/>
          <w:color w:val="2D2D2D"/>
          <w:sz w:val="22"/>
          <w:szCs w:val="22"/>
        </w:rPr>
        <w:t xml:space="preserve">They need a shareable link to their specific work. Their manager sees the running artifact, the devlog, and reactions from instructors and the community. The learning becomes organizational currency.</w:t>
      </w:r>
    </w:p>
    <w:p>
      <w:pPr>
        <w:spacing w:after="160" w:line="300"/>
      </w:pPr>
      <w:r>
        <w:rPr>
          <w:rFonts w:ascii="Arial" w:cs="Arial" w:eastAsia="Arial" w:hAnsi="Arial"/>
          <w:b/>
          <w:bCs/>
          <w:color w:val="2D2D2D"/>
          <w:sz w:val="22"/>
          <w:szCs w:val="22"/>
        </w:rPr>
        <w:t xml:space="preserve">Primary components: </w:t>
      </w:r>
      <w:r>
        <w:rPr>
          <w:rFonts w:ascii="Arial" w:cs="Arial" w:eastAsia="Arial" w:hAnsi="Arial"/>
          <w:color w:val="2D2D2D"/>
          <w:sz w:val="22"/>
          <w:szCs w:val="22"/>
        </w:rPr>
        <w:t xml:space="preserve">Shareable Portfolio View, Artifact Renderer, Devlog</w:t>
      </w:r>
    </w:p>
    <w:p>
      <w:pPr>
        <w:spacing w:after="80" w:before="200"/>
      </w:pPr>
      <w:r>
        <w:rPr>
          <w:rFonts w:ascii="Arial" w:cs="Arial" w:eastAsia="Arial" w:hAnsi="Arial"/>
          <w:b/>
          <w:bCs/>
          <w:color w:val="2E75B6"/>
          <w:sz w:val="22"/>
          <w:szCs w:val="22"/>
        </w:rPr>
        <w:t xml:space="preserve">JTBD 7: “Where am I in this journey?”</w:t>
      </w:r>
    </w:p>
    <w:p>
      <w:pPr>
        <w:spacing w:after="160" w:line="300"/>
      </w:pPr>
      <w:r>
        <w:rPr>
          <w:rFonts w:ascii="Arial" w:cs="Arial" w:eastAsia="Arial" w:hAnsi="Arial"/>
          <w:color w:val="2D2D2D"/>
          <w:sz w:val="22"/>
          <w:szCs w:val="22"/>
        </w:rPr>
        <w:t xml:space="preserve">They want a substantive check-in on their progression. Not a progress bar, but a conversational self-assessment that draws on their submissions. Are they using terms more precisely? Are their devlogs showing more sophisticated reasoning? Are they moving from describing what they built to articulating why?</w:t>
      </w:r>
    </w:p>
    <w:p>
      <w:pPr>
        <w:spacing w:after="160" w:line="300"/>
      </w:pPr>
      <w:r>
        <w:rPr>
          <w:rFonts w:ascii="Arial" w:cs="Arial" w:eastAsia="Arial" w:hAnsi="Arial"/>
          <w:b/>
          <w:bCs/>
          <w:color w:val="2D2D2D"/>
          <w:sz w:val="22"/>
          <w:szCs w:val="22"/>
        </w:rPr>
        <w:t xml:space="preserve">Primary components: </w:t>
      </w:r>
      <w:r>
        <w:rPr>
          <w:rFonts w:ascii="Arial" w:cs="Arial" w:eastAsia="Arial" w:hAnsi="Arial"/>
          <w:color w:val="2D2D2D"/>
          <w:sz w:val="22"/>
          <w:szCs w:val="22"/>
        </w:rPr>
        <w:t xml:space="preserve">Journey Map / Self-Assessment (private), Profile</w:t>
      </w:r>
    </w:p>
    <w:p>
      <w:pPr>
        <w:pBdr>
          <w:bottom w:val="single" w:color="2E75B6" w:sz="4" w:space="1"/>
        </w:pBdr>
        <w:spacing w:after="200" w:before="200"/>
      </w:pPr>
    </w:p>
    <w:p>
      <w:pPr>
        <w:pStyle w:val="Heading1"/>
      </w:pPr>
      <w:r>
        <w:rPr>
          <w:color w:val="1F3864"/>
        </w:rPr>
        <w:t xml:space="preserve">5. Design System Components</w:t>
      </w:r>
    </w:p>
    <w:p>
      <w:pPr>
        <w:spacing w:after="160" w:line="300"/>
      </w:pPr>
      <w:r>
        <w:rPr>
          <w:rFonts w:ascii="Arial" w:cs="Arial" w:eastAsia="Arial" w:hAnsi="Arial"/>
          <w:color w:val="2D2D2D"/>
          <w:sz w:val="22"/>
          <w:szCs w:val="22"/>
        </w:rPr>
        <w:t xml:space="preserve">The following components form the portal’s design system. Each is derived directly from the persona phases and jobs to be done. Components are listed with their purpose, the contexts in which they appear, their key states, and design considerations.</w:t>
      </w:r>
    </w:p>
    <w:p>
      <w:pPr>
        <w:spacing w:after="80" w:before="200"/>
      </w:pPr>
      <w:r>
        <w:rPr>
          <w:rFonts w:ascii="Arial" w:cs="Arial" w:eastAsia="Arial" w:hAnsi="Arial"/>
          <w:b/>
          <w:bCs/>
          <w:color w:val="2E75B6"/>
          <w:sz w:val="22"/>
          <w:szCs w:val="22"/>
        </w:rPr>
        <w:t xml:space="preserve">5.1 Onboarding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0" w:sz="1"/>
              <w:left w:val="single" w:color="D0D8E0" w:sz="1"/>
              <w:bottom w:val="single" w:color="D0D8E0" w:sz="1"/>
              <w:right w:val="single" w:color="D0D8E0"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7360"/>
            <w:tcBorders>
              <w:top w:val="single" w:color="D0D8E0" w:sz="1"/>
              <w:left w:val="single" w:color="D0D8E0" w:sz="1"/>
              <w:bottom w:val="single" w:color="D0D8E0" w:sz="1"/>
              <w:right w:val="single" w:color="D0D8E0"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Purpose</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Conversational goal articulation for new members. Draws out where someone is and where they want to go, producing grounded goal statements that frame the rest of their journey.</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Contexts</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First visit, goal revision checkpoints</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States</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Structured question (designed prompt with open text) → AI follow-up (single targeted question per section) → Goal summary → Confirmation</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Design Notes</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Should feel like a conversation, not an intake form. The combination of designed questions and AI follow-ups creates structure without rigidity. Output feeds directly into the Profile.</w:t>
            </w:r>
          </w:p>
        </w:tc>
      </w:tr>
    </w:tbl>
    <w:p>
      <w:pPr>
        <w:spacing w:after="160"/>
      </w:pPr>
    </w:p>
    <w:p>
      <w:pPr>
        <w:spacing w:after="80" w:before="200"/>
      </w:pPr>
      <w:r>
        <w:rPr>
          <w:rFonts w:ascii="Arial" w:cs="Arial" w:eastAsia="Arial" w:hAnsi="Arial"/>
          <w:b/>
          <w:bCs/>
          <w:color w:val="2E75B6"/>
          <w:sz w:val="22"/>
          <w:szCs w:val="22"/>
        </w:rPr>
        <w:t xml:space="preserve">5.2 Goal Evolution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0" w:sz="1"/>
              <w:left w:val="single" w:color="D0D8E0" w:sz="1"/>
              <w:bottom w:val="single" w:color="D0D8E0" w:sz="1"/>
              <w:right w:val="single" w:color="D0D8E0"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7360"/>
            <w:tcBorders>
              <w:top w:val="single" w:color="D0D8E0" w:sz="1"/>
              <w:left w:val="single" w:color="D0D8E0" w:sz="1"/>
              <w:bottom w:val="single" w:color="D0D8E0" w:sz="1"/>
              <w:right w:val="single" w:color="D0D8E0"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Purpose</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Mechanism to revisit and update goals over time. Shows goal history as evidence of developing judgment: early goals tend to be vague or tool-focused; later goals become problem-focused and organizationally grounded.</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Contexts</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Profile page, post-challenge reflection, post-presentation debrief</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States</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Current goals → Edit mode → History view (timeline of goal evolution)</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Design Notes</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Natural trigger points after completing challenges or presentations. Goal history is private to the individual.</w:t>
            </w:r>
          </w:p>
        </w:tc>
      </w:tr>
    </w:tbl>
    <w:p>
      <w:pPr>
        <w:spacing w:after="160"/>
      </w:pPr>
    </w:p>
    <w:p>
      <w:pPr>
        <w:spacing w:after="80" w:before="200"/>
      </w:pPr>
      <w:r>
        <w:rPr>
          <w:rFonts w:ascii="Arial" w:cs="Arial" w:eastAsia="Arial" w:hAnsi="Arial"/>
          <w:b/>
          <w:bCs/>
          <w:color w:val="2E75B6"/>
          <w:sz w:val="22"/>
          <w:szCs w:val="22"/>
        </w:rPr>
        <w:t xml:space="preserve">5.3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0" w:sz="1"/>
              <w:left w:val="single" w:color="D0D8E0" w:sz="1"/>
              <w:bottom w:val="single" w:color="D0D8E0" w:sz="1"/>
              <w:right w:val="single" w:color="D0D8E0"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7360"/>
            <w:tcBorders>
              <w:top w:val="single" w:color="D0D8E0" w:sz="1"/>
              <w:left w:val="single" w:color="D0D8E0" w:sz="1"/>
              <w:bottom w:val="single" w:color="D0D8E0" w:sz="1"/>
              <w:right w:val="single" w:color="D0D8E0"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Purpose</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The central living document tying together goals, portfolio, progression signal, and community footprint. Not a settings page—a record of growth.</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Contexts</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Personal dashboard, shareable portfolio view (public subset)</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States</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Private view (full: goals, progression, devlogs, self-assessment) vs. Public view (curated: artifacts, devlogs, community feedback, selected goals)</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Design Notes</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The private layer includes self-assessment data visible only to the individual. The public layer is what gets shared with managers and colleagues via link.</w:t>
            </w:r>
          </w:p>
        </w:tc>
      </w:tr>
    </w:tbl>
    <w:p>
      <w:pPr>
        <w:spacing w:after="160"/>
      </w:pPr>
    </w:p>
    <w:p>
      <w:pPr>
        <w:spacing w:after="80" w:before="200"/>
      </w:pPr>
      <w:r>
        <w:rPr>
          <w:rFonts w:ascii="Arial" w:cs="Arial" w:eastAsia="Arial" w:hAnsi="Arial"/>
          <w:b/>
          <w:bCs/>
          <w:color w:val="2E75B6"/>
          <w:sz w:val="22"/>
          <w:szCs w:val="22"/>
        </w:rPr>
        <w:t xml:space="preserve">5.4 Challenge Card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0" w:sz="1"/>
              <w:left w:val="single" w:color="D0D8E0" w:sz="1"/>
              <w:bottom w:val="single" w:color="D0D8E0" w:sz="1"/>
              <w:right w:val="single" w:color="D0D8E0"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7360"/>
            <w:tcBorders>
              <w:top w:val="single" w:color="D0D8E0" w:sz="1"/>
              <w:left w:val="single" w:color="D0D8E0" w:sz="1"/>
              <w:bottom w:val="single" w:color="D0D8E0" w:sz="1"/>
              <w:right w:val="single" w:color="D0D8E0"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Purpose</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Container for a bounded unit of work. Contains the prompt, expected deliverables, submission affordances, and links to relevant reference material.</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Contexts</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Journey map, homepage recommendations, challenge library</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States</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Phase 1: step-by-step guidance with decisions called out. Phase 2: constrained problem statement with real decisions. Phase 3: open discovery prompt. All: submission state (not started, in progress, submitted, reviewed).</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Design Notes</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The density of guidance visible in the component communicates scaffolding level without labels like “beginner.” Challenges are the primary unit of curriculum progression.</w:t>
            </w:r>
          </w:p>
        </w:tc>
      </w:tr>
    </w:tbl>
    <w:p>
      <w:pPr>
        <w:spacing w:after="160"/>
      </w:pPr>
    </w:p>
    <w:p>
      <w:pPr>
        <w:spacing w:after="80" w:before="200"/>
      </w:pPr>
      <w:r>
        <w:rPr>
          <w:rFonts w:ascii="Arial" w:cs="Arial" w:eastAsia="Arial" w:hAnsi="Arial"/>
          <w:b/>
          <w:bCs/>
          <w:color w:val="2E75B6"/>
          <w:sz w:val="22"/>
          <w:szCs w:val="22"/>
        </w:rPr>
        <w:t xml:space="preserve">5.5 Artifact Renderer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0" w:sz="1"/>
              <w:left w:val="single" w:color="D0D8E0" w:sz="1"/>
              <w:bottom w:val="single" w:color="D0D8E0" w:sz="1"/>
              <w:right w:val="single" w:color="D0D8E0"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7360"/>
            <w:tcBorders>
              <w:top w:val="single" w:color="D0D8E0" w:sz="1"/>
              <w:left w:val="single" w:color="D0D8E0" w:sz="1"/>
              <w:bottom w:val="single" w:color="D0D8E0" w:sz="1"/>
              <w:right w:val="single" w:color="D0D8E0"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Purpose</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Takes a README with setup instructions and renders running code inline—similar to Claude’s Artifacts. The “show, don’t tell” engine of the site.</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Contexts</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Challenge submissions, showcase gallery, example applications, shareable portfolio</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States</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Loading / building → Running → Error (with visible logs). May include controls for interaction.</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Design Notes</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Must handle the real build/run lifecycle, not static previews. Every challenge submission, showcase piece, and example application lives in this component. Error states should reinforce the “visibility as power” disposition.</w:t>
            </w:r>
          </w:p>
        </w:tc>
      </w:tr>
    </w:tbl>
    <w:p>
      <w:pPr>
        <w:spacing w:after="160"/>
      </w:pPr>
    </w:p>
    <w:p>
      <w:pPr>
        <w:spacing w:after="80" w:before="200"/>
      </w:pPr>
      <w:r>
        <w:rPr>
          <w:rFonts w:ascii="Arial" w:cs="Arial" w:eastAsia="Arial" w:hAnsi="Arial"/>
          <w:b/>
          <w:bCs/>
          <w:color w:val="2E75B6"/>
          <w:sz w:val="22"/>
          <w:szCs w:val="22"/>
        </w:rPr>
        <w:t xml:space="preserve">5.6 Devlog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0" w:sz="1"/>
              <w:left w:val="single" w:color="D0D8E0" w:sz="1"/>
              <w:bottom w:val="single" w:color="D0D8E0" w:sz="1"/>
              <w:right w:val="single" w:color="D0D8E0"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7360"/>
            <w:tcBorders>
              <w:top w:val="single" w:color="D0D8E0" w:sz="1"/>
              <w:left w:val="single" w:color="D0D8E0" w:sz="1"/>
              <w:bottom w:val="single" w:color="D0D8E0" w:sz="1"/>
              <w:right w:val="single" w:color="D0D8E0"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Purpose</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Structured reflection component with sections mapped to areas of professional judgment. The structure helps people extract and articulate their reasoning; over time, a collection of devlogs becomes a portfolio of judgment development.</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Contexts</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Challenge submissions, showcase gallery, shareable portfolio, self-assessment input</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States</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Sections (all optional per entry): Architecture decisions, Design decisions, Organizational context, What I learned, What I’d change. Supports embedded video (via Video Viewer) and code references.</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Design Notes</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The structure isn’t a rigid template—not every section is needed for every entry. But the consistent categories create a through-line that the self-assessment can analyze over time.</w:t>
            </w:r>
          </w:p>
        </w:tc>
      </w:tr>
    </w:tbl>
    <w:p>
      <w:pPr>
        <w:spacing w:after="160"/>
      </w:pPr>
    </w:p>
    <w:p>
      <w:pPr>
        <w:spacing w:after="80" w:before="200"/>
      </w:pPr>
      <w:r>
        <w:rPr>
          <w:rFonts w:ascii="Arial" w:cs="Arial" w:eastAsia="Arial" w:hAnsi="Arial"/>
          <w:b/>
          <w:bCs/>
          <w:color w:val="2E75B6"/>
          <w:sz w:val="22"/>
          <w:szCs w:val="22"/>
        </w:rPr>
        <w:t xml:space="preserve">5.7 Video 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0" w:sz="1"/>
              <w:left w:val="single" w:color="D0D8E0" w:sz="1"/>
              <w:bottom w:val="single" w:color="D0D8E0" w:sz="1"/>
              <w:right w:val="single" w:color="D0D8E0"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7360"/>
            <w:tcBorders>
              <w:top w:val="single" w:color="D0D8E0" w:sz="1"/>
              <w:left w:val="single" w:color="D0D8E0" w:sz="1"/>
              <w:bottom w:val="single" w:color="D0D8E0" w:sz="1"/>
              <w:right w:val="single" w:color="D0D8E0"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Purpose</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Embeds Loom recordings inline. People record walkthroughs, presentations, and reflections in Loom; this component renders them natively in the portal.</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Contexts</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Inside devlogs, showcase gallery, challenge submissions, live room recordings, shareable portfolio</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States</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Accepts Loom link → Renders embedded player. Handles fallback gracefully if link is invalid.</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Design Notes</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Should feel native to the site, not like an iframe afterthought. Auto-detection of Loom links in devlog content for automatic rendering.</w:t>
            </w:r>
          </w:p>
        </w:tc>
      </w:tr>
    </w:tbl>
    <w:p>
      <w:pPr>
        <w:spacing w:after="160"/>
      </w:pPr>
    </w:p>
    <w:p>
      <w:pPr>
        <w:spacing w:after="80" w:before="200"/>
      </w:pPr>
      <w:r>
        <w:rPr>
          <w:rFonts w:ascii="Arial" w:cs="Arial" w:eastAsia="Arial" w:hAnsi="Arial"/>
          <w:b/>
          <w:bCs/>
          <w:color w:val="2E75B6"/>
          <w:sz w:val="22"/>
          <w:szCs w:val="22"/>
        </w:rPr>
        <w:t xml:space="preserve">5.8 Journey Map / Self-Assessment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0" w:sz="1"/>
              <w:left w:val="single" w:color="D0D8E0" w:sz="1"/>
              <w:bottom w:val="single" w:color="D0D8E0" w:sz="1"/>
              <w:right w:val="single" w:color="D0D8E0"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7360"/>
            <w:tcBorders>
              <w:top w:val="single" w:color="D0D8E0" w:sz="1"/>
              <w:left w:val="single" w:color="D0D8E0" w:sz="1"/>
              <w:bottom w:val="single" w:color="D0D8E0" w:sz="1"/>
              <w:right w:val="single" w:color="D0D8E0"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Purpose</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A private, conversational interface where someone checks in on their progression. Draws on submitted devlogs and artifacts to reflect growth back to them.</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Contexts</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Profile (private layer only), periodic check-in prompts</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States</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Conversational: prompts reflection, surfaces patterns from submissions (e.g., “your early devlogs described what you built; your recent ones explain trade-offs”). Suggests areas to push on next.</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Design Notes</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AI-powered analysis of devlog content over time. Looks at terminology consistency, reasoning sophistication, and the shift from describing “what” to articulating “why.” Entirely private—never visible to peers or managers.</w:t>
            </w:r>
          </w:p>
        </w:tc>
      </w:tr>
    </w:tbl>
    <w:p>
      <w:pPr>
        <w:spacing w:after="160"/>
      </w:pPr>
    </w:p>
    <w:p>
      <w:r>
        <w:br w:type="page"/>
      </w:r>
    </w:p>
    <w:p>
      <w:pPr>
        <w:spacing w:after="80" w:before="200"/>
      </w:pPr>
      <w:r>
        <w:rPr>
          <w:rFonts w:ascii="Arial" w:cs="Arial" w:eastAsia="Arial" w:hAnsi="Arial"/>
          <w:b/>
          <w:bCs/>
          <w:color w:val="2E75B6"/>
          <w:sz w:val="22"/>
          <w:szCs w:val="22"/>
        </w:rPr>
        <w:t xml:space="preserve">5.9 Showcase Gallery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0" w:sz="1"/>
              <w:left w:val="single" w:color="D0D8E0" w:sz="1"/>
              <w:bottom w:val="single" w:color="D0D8E0" w:sz="1"/>
              <w:right w:val="single" w:color="D0D8E0"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7360"/>
            <w:tcBorders>
              <w:top w:val="single" w:color="D0D8E0" w:sz="1"/>
              <w:left w:val="single" w:color="D0D8E0" w:sz="1"/>
              <w:bottom w:val="single" w:color="D0D8E0" w:sz="1"/>
              <w:right w:val="single" w:color="D0D8E0"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Purpose</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Browsable collection of peer work: running artifacts paired with devlogs and video. The legitimate peripheral participation engine.</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Contexts</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Community homepage, topic-filtered views, cohort views</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States</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Grid/list of showcase entries, each containing: Artifact Renderer preview, Devlog summary, Video Viewer (if present), community reactions/feedback. Filterable by topic, challenge, cohort.</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Design Notes</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This is how Phase 1 people decide they belong—by seeing real work from people like them. It’s also how Phase 3 people get recognized.</w:t>
            </w:r>
          </w:p>
        </w:tc>
      </w:tr>
    </w:tbl>
    <w:p>
      <w:pPr>
        <w:spacing w:after="160"/>
      </w:pPr>
    </w:p>
    <w:p>
      <w:pPr>
        <w:spacing w:after="80" w:before="200"/>
      </w:pPr>
      <w:r>
        <w:rPr>
          <w:rFonts w:ascii="Arial" w:cs="Arial" w:eastAsia="Arial" w:hAnsi="Arial"/>
          <w:b/>
          <w:bCs/>
          <w:color w:val="2E75B6"/>
          <w:sz w:val="22"/>
          <w:szCs w:val="22"/>
        </w:rPr>
        <w:t xml:space="preserve">5.10 Live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0" w:sz="1"/>
              <w:left w:val="single" w:color="D0D8E0" w:sz="1"/>
              <w:bottom w:val="single" w:color="D0D8E0" w:sz="1"/>
              <w:right w:val="single" w:color="D0D8E0"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7360"/>
            <w:tcBorders>
              <w:top w:val="single" w:color="D0D8E0" w:sz="1"/>
              <w:left w:val="single" w:color="D0D8E0" w:sz="1"/>
              <w:bottom w:val="single" w:color="D0D8E0" w:sz="1"/>
              <w:right w:val="single" w:color="D0D8E0"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Purpose</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Themed session space for presentations and feedback. Supports both synchronous sessions and asynchronous recorded presentations with threaded feedback.</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Contexts</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Community calendar, presentation practice, discovery feedback sessions</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States</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Upcoming sessions (with theme description) → Live session (presentation + discussion) → Recording with threaded feedback. Themes like “presenting discovery work to leadership” set feedback expectations.</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Design Notes</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The theme structure matters because it tells participants what kind of feedback to give. A “leadership pitch” room gives different feedback than a “technical architecture” room.</w:t>
            </w:r>
          </w:p>
        </w:tc>
      </w:tr>
    </w:tbl>
    <w:p>
      <w:pPr>
        <w:spacing w:after="160"/>
      </w:pPr>
    </w:p>
    <w:p>
      <w:pPr>
        <w:spacing w:after="80" w:before="200"/>
      </w:pPr>
      <w:r>
        <w:rPr>
          <w:rFonts w:ascii="Arial" w:cs="Arial" w:eastAsia="Arial" w:hAnsi="Arial"/>
          <w:b/>
          <w:bCs/>
          <w:color w:val="2E75B6"/>
          <w:sz w:val="22"/>
          <w:szCs w:val="22"/>
        </w:rPr>
        <w:t xml:space="preserve">5.11 Reference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0" w:sz="1"/>
              <w:left w:val="single" w:color="D0D8E0" w:sz="1"/>
              <w:bottom w:val="single" w:color="D0D8E0" w:sz="1"/>
              <w:right w:val="single" w:color="D0D8E0"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7360"/>
            <w:tcBorders>
              <w:top w:val="single" w:color="D0D8E0" w:sz="1"/>
              <w:left w:val="single" w:color="D0D8E0" w:sz="1"/>
              <w:bottom w:val="single" w:color="D0D8E0" w:sz="1"/>
              <w:right w:val="single" w:color="D0D8E0"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Purpose</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Contextual knowledge that surfaces alongside active work. Not a separate docs site—inline, relevant, connected to the current challenge.</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Contexts</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Alongside Challenge Cards, within Artifact Renderer error states, linked from Devlog sections</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States</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Collapsed (link/indicator) → Expanded (reference content). Covers: infrastructure, debugging, data modeling, authentication, design systems, organizational navigation.</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Design Notes</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Reference material should feel like something you pull in when you need it, not a reading assignment. Signposts like “this is how you debug—this matters because you want to be in power to fix it” reinforce dispositions.</w:t>
            </w:r>
          </w:p>
        </w:tc>
      </w:tr>
    </w:tbl>
    <w:p>
      <w:pPr>
        <w:spacing w:after="160"/>
      </w:pPr>
    </w:p>
    <w:p>
      <w:pPr>
        <w:spacing w:after="80" w:before="200"/>
      </w:pPr>
      <w:r>
        <w:rPr>
          <w:rFonts w:ascii="Arial" w:cs="Arial" w:eastAsia="Arial" w:hAnsi="Arial"/>
          <w:b/>
          <w:bCs/>
          <w:color w:val="2E75B6"/>
          <w:sz w:val="22"/>
          <w:szCs w:val="22"/>
        </w:rPr>
        <w:t xml:space="preserve">5.12 Shareable Portfolio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0" w:sz="1"/>
              <w:left w:val="single" w:color="D0D8E0" w:sz="1"/>
              <w:bottom w:val="single" w:color="D0D8E0" w:sz="1"/>
              <w:right w:val="single" w:color="D0D8E0"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7360"/>
            <w:tcBorders>
              <w:top w:val="single" w:color="D0D8E0" w:sz="1"/>
              <w:left w:val="single" w:color="D0D8E0" w:sz="1"/>
              <w:bottom w:val="single" w:color="D0D8E0" w:sz="1"/>
              <w:right w:val="single" w:color="D0D8E0"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Purpose</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Outward-facing, curated view of someone’s work. Linkable for managers and colleagues outside the program.</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Contexts</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Shared via URL to managers, leadership, colleagues</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States</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Curated selection of: running artifacts, devlogs, community feedback, recorded presentations. Excludes private data (self-assessment, goal history, progression signal).</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Design Notes</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This is the bridge between the learning community and the organization. Should be polished enough to share upward. Must clearly distinguish from the private profile view.</w:t>
            </w:r>
          </w:p>
        </w:tc>
      </w:tr>
    </w:tbl>
    <w:p>
      <w:pPr>
        <w:spacing w:after="160"/>
      </w:pPr>
    </w:p>
    <w:p>
      <w:pPr>
        <w:spacing w:after="80" w:before="200"/>
      </w:pPr>
      <w:r>
        <w:rPr>
          <w:rFonts w:ascii="Arial" w:cs="Arial" w:eastAsia="Arial" w:hAnsi="Arial"/>
          <w:b/>
          <w:bCs/>
          <w:color w:val="2E75B6"/>
          <w:sz w:val="22"/>
          <w:szCs w:val="22"/>
        </w:rPr>
        <w:t xml:space="preserve">5.13 Go-to-Market Toolkit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0D8E0" w:sz="1"/>
              <w:left w:val="single" w:color="D0D8E0" w:sz="1"/>
              <w:bottom w:val="single" w:color="D0D8E0" w:sz="1"/>
              <w:right w:val="single" w:color="D0D8E0"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Attribute</w:t>
            </w:r>
          </w:p>
        </w:tc>
        <w:tc>
          <w:tcPr>
            <w:tcW w:type="dxa" w:w="7360"/>
            <w:tcBorders>
              <w:top w:val="single" w:color="D0D8E0" w:sz="1"/>
              <w:left w:val="single" w:color="D0D8E0" w:sz="1"/>
              <w:bottom w:val="single" w:color="D0D8E0" w:sz="1"/>
              <w:right w:val="single" w:color="D0D8E0" w:sz="1"/>
            </w:tcBorders>
            <w:shd w:fill="1F3864" w:val="clear"/>
            <w:tcMar>
              <w:top w:type="dxa" w:w="100"/>
              <w:left w:type="dxa" w:w="140"/>
              <w:bottom w:type="dxa" w:w="100"/>
              <w:right w:type="dxa" w:w="140"/>
            </w:tcMar>
          </w:tcPr>
          <w:p>
            <w:r>
              <w:rPr>
                <w:rFonts w:ascii="Arial" w:cs="Arial" w:eastAsia="Arial" w:hAnsi="Arial"/>
                <w:b/>
                <w:bCs/>
                <w:color w:val="FFFFFF"/>
                <w:sz w:val="20"/>
                <w:szCs w:val="20"/>
              </w:rPr>
              <w:t xml:space="preserve">Detail</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Purpose</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Downloadable and customizable templates for organizational artifacts: one-pagers, video recording guidance, pitch structures, stakeholder communication frameworks.</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Contexts</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Challenge Cards (Phase 3), profile toolkit section, pre-presentation preparation</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States</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Template library → Selected template → Customization/editing → Download/export. Templates are tools to take into the enterprise, not content to consume on-site.</w:t>
            </w:r>
          </w:p>
        </w:tc>
      </w:tr>
      <w:tr>
        <w:tc>
          <w:tcPr>
            <w:tcW w:type="dxa" w:w="200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Design Notes</w:t>
            </w:r>
          </w:p>
        </w:tc>
        <w:tc>
          <w:tcPr>
            <w:tcW w:type="dxa" w:w="7360"/>
            <w:tcBorders>
              <w:top w:val="single" w:color="D0D8E0" w:sz="1"/>
              <w:left w:val="single" w:color="D0D8E0" w:sz="1"/>
              <w:bottom w:val="single" w:color="D0D8E0" w:sz="1"/>
              <w:right w:val="single" w:color="D0D8E0" w:sz="1"/>
            </w:tcBorders>
            <w:tcMar>
              <w:top w:type="dxa" w:w="100"/>
              <w:left w:type="dxa" w:w="140"/>
              <w:bottom w:type="dxa" w:w="100"/>
              <w:right w:type="dxa" w:w="140"/>
            </w:tcMar>
          </w:tcPr>
          <w:p>
            <w:pPr>
              <w:spacing w:line="260"/>
            </w:pPr>
            <w:r>
              <w:rPr>
                <w:rFonts w:ascii="Arial" w:cs="Arial" w:eastAsia="Arial" w:hAnsi="Arial"/>
                <w:color w:val="2D2D2D"/>
                <w:sz w:val="20"/>
                <w:szCs w:val="20"/>
              </w:rPr>
              <w:t xml:space="preserve">Should feel like instruments you take with you. Visual distinction between “things you use inside this community” and “things you take out into your organization.”</w:t>
            </w:r>
          </w:p>
        </w:tc>
      </w:tr>
    </w:tbl>
    <w:p>
      <w:pPr>
        <w:spacing w:after="160"/>
      </w:pPr>
    </w:p>
    <w:p>
      <w:pPr>
        <w:pBdr>
          <w:bottom w:val="single" w:color="2E75B6" w:sz="4" w:space="1"/>
        </w:pBdr>
        <w:spacing w:after="200" w:before="200"/>
      </w:pPr>
    </w:p>
    <w:p>
      <w:pPr>
        <w:pStyle w:val="Heading1"/>
      </w:pPr>
      <w:r>
        <w:rPr>
          <w:color w:val="1F3864"/>
        </w:rPr>
        <w:t xml:space="preserve">6. Content Domains</w:t>
      </w:r>
    </w:p>
    <w:p>
      <w:pPr>
        <w:spacing w:after="160" w:line="300"/>
      </w:pPr>
      <w:r>
        <w:rPr>
          <w:rFonts w:ascii="Arial" w:cs="Arial" w:eastAsia="Arial" w:hAnsi="Arial"/>
          <w:color w:val="2D2D2D"/>
          <w:sz w:val="22"/>
          <w:szCs w:val="22"/>
        </w:rPr>
        <w:t xml:space="preserve">Content is not organized as a separate curriculum—it surfaces through challenges, reference panels, and community sessions. The following domains describe what the content covers, not how it’s navigated.</w:t>
      </w:r>
    </w:p>
    <w:p>
      <w:pPr>
        <w:spacing w:after="80" w:before="200"/>
      </w:pPr>
      <w:r>
        <w:rPr>
          <w:rFonts w:ascii="Arial" w:cs="Arial" w:eastAsia="Arial" w:hAnsi="Arial"/>
          <w:b/>
          <w:bCs/>
          <w:color w:val="2E75B6"/>
          <w:sz w:val="22"/>
          <w:szCs w:val="22"/>
        </w:rPr>
        <w:t xml:space="preserve">Community of Practice</w:t>
      </w:r>
    </w:p>
    <w:p>
      <w:pPr>
        <w:spacing w:after="160" w:line="300"/>
      </w:pPr>
      <w:r>
        <w:rPr>
          <w:rFonts w:ascii="Arial" w:cs="Arial" w:eastAsia="Arial" w:hAnsi="Arial"/>
          <w:color w:val="2D2D2D"/>
          <w:sz w:val="22"/>
          <w:szCs w:val="22"/>
        </w:rPr>
        <w:t xml:space="preserve">Legitimate peripheral participation: showing how to interact with concepts before asking people to master them. Community sessions to join, challenges that scaffold from following directions to independent discovery. Increasing presentation responsibility as you progress. The principle: show before tell.</w:t>
      </w:r>
    </w:p>
    <w:p>
      <w:pPr>
        <w:spacing w:after="80" w:before="200"/>
      </w:pPr>
      <w:r>
        <w:rPr>
          <w:rFonts w:ascii="Arial" w:cs="Arial" w:eastAsia="Arial" w:hAnsi="Arial"/>
          <w:b/>
          <w:bCs/>
          <w:color w:val="2E75B6"/>
          <w:sz w:val="22"/>
          <w:szCs w:val="22"/>
        </w:rPr>
        <w:t xml:space="preserve">Architecture</w:t>
      </w:r>
    </w:p>
    <w:p>
      <w:pPr>
        <w:spacing w:after="160" w:line="300"/>
      </w:pPr>
      <w:r>
        <w:rPr>
          <w:rFonts w:ascii="Arial" w:cs="Arial" w:eastAsia="Arial" w:hAnsi="Arial"/>
          <w:color w:val="2D2D2D"/>
          <w:sz w:val="22"/>
          <w:szCs w:val="22"/>
        </w:rPr>
        <w:t xml:space="preserve">Infrastructure, hosts and servers, networking and proxies, hot module reload and proxy interaction, authentication and authorization (human, application, and agent identity). This is the physics of the development environment.</w:t>
      </w:r>
    </w:p>
    <w:p>
      <w:pPr>
        <w:spacing w:after="80" w:before="200"/>
      </w:pPr>
      <w:r>
        <w:rPr>
          <w:rFonts w:ascii="Arial" w:cs="Arial" w:eastAsia="Arial" w:hAnsi="Arial"/>
          <w:b/>
          <w:bCs/>
          <w:color w:val="2E75B6"/>
          <w:sz w:val="22"/>
          <w:szCs w:val="22"/>
        </w:rPr>
        <w:t xml:space="preserve">Building</w:t>
      </w:r>
    </w:p>
    <w:p>
      <w:pPr>
        <w:spacing w:after="160" w:line="300"/>
      </w:pPr>
      <w:r>
        <w:rPr>
          <w:rFonts w:ascii="Arial" w:cs="Arial" w:eastAsia="Arial" w:hAnsi="Arial"/>
          <w:color w:val="2D2D2D"/>
          <w:sz w:val="22"/>
          <w:szCs w:val="22"/>
        </w:rPr>
        <w:t xml:space="preserve">Accessing logs for debugging, recognizing when AI builds slop, knowing when to use mock data versus real data flows, using APIs with changing versions, automated testing and communicating what’s been tested, AI evaluation tools and techniques, addressing domain-specific AI risks with pre- and post-production testing and evidence, instrumentation and observability, using git to recover from regressions, working with multiple agents in parallel, deploying MCPs with a CLI for versioned distribution.</w:t>
      </w:r>
    </w:p>
    <w:p>
      <w:pPr>
        <w:spacing w:after="80" w:before="200"/>
      </w:pPr>
      <w:r>
        <w:rPr>
          <w:rFonts w:ascii="Arial" w:cs="Arial" w:eastAsia="Arial" w:hAnsi="Arial"/>
          <w:b/>
          <w:bCs/>
          <w:color w:val="2E75B6"/>
          <w:sz w:val="22"/>
          <w:szCs w:val="22"/>
        </w:rPr>
        <w:t xml:space="preserve">Data Modeling</w:t>
      </w:r>
    </w:p>
    <w:p>
      <w:pPr>
        <w:spacing w:after="160" w:line="300"/>
      </w:pPr>
      <w:r>
        <w:rPr>
          <w:rFonts w:ascii="Arial" w:cs="Arial" w:eastAsia="Arial" w:hAnsi="Arial"/>
          <w:color w:val="2D2D2D"/>
          <w:sz w:val="22"/>
          <w:szCs w:val="22"/>
        </w:rPr>
        <w:t xml:space="preserve">Schemas, manipulating data, idempotency, access to data APIs, data privacy classifications, PII cleansing.</w:t>
      </w:r>
    </w:p>
    <w:p>
      <w:pPr>
        <w:spacing w:after="80" w:before="200"/>
      </w:pPr>
      <w:r>
        <w:rPr>
          <w:rFonts w:ascii="Arial" w:cs="Arial" w:eastAsia="Arial" w:hAnsi="Arial"/>
          <w:b/>
          <w:bCs/>
          <w:color w:val="2E75B6"/>
          <w:sz w:val="22"/>
          <w:szCs w:val="22"/>
        </w:rPr>
        <w:t xml:space="preserve">Discovery and Design</w:t>
      </w:r>
    </w:p>
    <w:p>
      <w:pPr>
        <w:spacing w:after="160" w:line="300"/>
      </w:pPr>
      <w:r>
        <w:rPr>
          <w:rFonts w:ascii="Arial" w:cs="Arial" w:eastAsia="Arial" w:hAnsi="Arial"/>
          <w:color w:val="2D2D2D"/>
          <w:sz w:val="22"/>
          <w:szCs w:val="22"/>
        </w:rPr>
        <w:t xml:space="preserve">Using prototypes to learn in discovery, killing your darlings, not anchoring to tools, shaping problems, knowing when to use structured ideation methods, applying design systems and UI guidance, spec-driven design and development, creating one-pager product briefs.</w:t>
      </w:r>
    </w:p>
    <w:p>
      <w:pPr>
        <w:spacing w:after="80" w:before="200"/>
      </w:pPr>
      <w:r>
        <w:rPr>
          <w:rFonts w:ascii="Arial" w:cs="Arial" w:eastAsia="Arial" w:hAnsi="Arial"/>
          <w:b/>
          <w:bCs/>
          <w:color w:val="2E75B6"/>
          <w:sz w:val="22"/>
          <w:szCs w:val="22"/>
        </w:rPr>
        <w:t xml:space="preserve">Navigating Your Organization</w:t>
      </w:r>
    </w:p>
    <w:p>
      <w:pPr>
        <w:spacing w:after="160" w:line="300"/>
      </w:pPr>
      <w:r>
        <w:rPr>
          <w:rFonts w:ascii="Arial" w:cs="Arial" w:eastAsia="Arial" w:hAnsi="Arial"/>
          <w:color w:val="2D2D2D"/>
          <w:sz w:val="22"/>
          <w:szCs w:val="22"/>
        </w:rPr>
        <w:t xml:space="preserve">Finding teams doing complementary work and pitching mutually beneficial partnerships, scoping doable pieces of work and socializing them, balancing people’s attention with your innovation efforts.</w:t>
      </w:r>
    </w:p>
    <w:p>
      <w:pPr>
        <w:spacing w:after="80" w:before="200"/>
      </w:pPr>
      <w:r>
        <w:rPr>
          <w:rFonts w:ascii="Arial" w:cs="Arial" w:eastAsia="Arial" w:hAnsi="Arial"/>
          <w:b/>
          <w:bCs/>
          <w:color w:val="2E75B6"/>
          <w:sz w:val="22"/>
          <w:szCs w:val="22"/>
        </w:rPr>
        <w:t xml:space="preserve">Go-to-Market</w:t>
      </w:r>
    </w:p>
    <w:p>
      <w:pPr>
        <w:spacing w:after="160" w:line="300"/>
      </w:pPr>
      <w:r>
        <w:rPr>
          <w:rFonts w:ascii="Arial" w:cs="Arial" w:eastAsia="Arial" w:hAnsi="Arial"/>
          <w:color w:val="2D2D2D"/>
          <w:sz w:val="22"/>
          <w:szCs w:val="22"/>
        </w:rPr>
        <w:t xml:space="preserve">Recording compelling videos describing your work, creating one-pager presentations as leave-behinds, positioning your work for organizational impact.</w:t>
      </w:r>
    </w:p>
    <w:p>
      <w:pPr>
        <w:spacing w:after="160" w:line="300"/>
      </w:pPr>
      <w:r>
        <w:rPr>
          <w:rFonts w:ascii="Arial" w:cs="Arial" w:eastAsia="Arial" w:hAnsi="Arial"/>
          <w:color w:val="2D2D2D"/>
          <w:sz w:val="22"/>
          <w:szCs w:val="22"/>
        </w:rPr>
        <w:t xml:space="preserve">AI design principles—conversational interaction, human in the loop, cognitive load, visibility and control levers, context engineering, caching, latency and cost trade-offs, prototyping to learn—are not a separate domain. They are the lens through which all building content is taught, and the basis for how each project develops its own visual identity using a shared component library with customized design tokens.</w:t>
      </w:r>
    </w:p>
    <w:p>
      <w:pPr>
        <w:pBdr>
          <w:bottom w:val="single" w:color="2E75B6" w:sz="4" w:space="1"/>
        </w:pBdr>
        <w:spacing w:after="200" w:before="200"/>
      </w:pPr>
    </w:p>
    <w:p>
      <w:pPr>
        <w:pStyle w:val="Heading1"/>
      </w:pPr>
      <w:r>
        <w:rPr>
          <w:color w:val="1F3864"/>
        </w:rPr>
        <w:t xml:space="preserve">7. Visual Language and Metaphor</w:t>
      </w:r>
    </w:p>
    <w:p>
      <w:pPr>
        <w:pStyle w:val="Heading2"/>
      </w:pPr>
      <w:r>
        <w:rPr>
          <w:color w:val="1F3864"/>
        </w:rPr>
        <w:t xml:space="preserve">7.1 Core Metaphor: Space Exploration Grounded in Habitation</w:t>
      </w:r>
    </w:p>
    <w:p>
      <w:pPr>
        <w:spacing w:after="160" w:line="300"/>
      </w:pPr>
      <w:r>
        <w:rPr>
          <w:rFonts w:ascii="Arial" w:cs="Arial" w:eastAsia="Arial" w:hAnsi="Arial"/>
          <w:color w:val="2D2D2D"/>
          <w:sz w:val="22"/>
          <w:szCs w:val="22"/>
        </w:rPr>
        <w:t xml:space="preserve">The visual language draws on space exploration—not as abstract sci-fi, but as discovery with purpose. We are not exploring for the thrill of it. We are learning to make a new environment habitable for the people who work here.</w:t>
      </w:r>
    </w:p>
    <w:p>
      <w:pPr>
        <w:spacing w:after="160" w:line="300"/>
      </w:pPr>
      <w:r>
        <w:rPr>
          <w:rFonts w:ascii="Arial" w:cs="Arial" w:eastAsia="Arial" w:hAnsi="Arial"/>
          <w:color w:val="2D2D2D"/>
          <w:sz w:val="22"/>
          <w:szCs w:val="22"/>
        </w:rPr>
        <w:t xml:space="preserve">This tension between exploration and habitation maps onto the program’s arc. Early on, you’re an explorer—charting unfamiliar territory, learning the terrain. By the end, you’re a builder of habitable systems—making this environment work for your team, your organization, your users. The skills are the same (observation, resourcefulness, judgment), but the purpose shifts from understanding to sustaining.</w:t>
      </w:r>
    </w:p>
    <w:p>
      <w:pPr>
        <w:pStyle w:val="Heading2"/>
      </w:pPr>
      <w:r>
        <w:rPr>
          <w:color w:val="1F3864"/>
        </w:rPr>
        <w:t xml:space="preserve">7.2 Visual Principles</w:t>
      </w:r>
    </w:p>
    <w:p>
      <w:pPr>
        <w:spacing w:after="80" w:before="200"/>
      </w:pPr>
      <w:r>
        <w:rPr>
          <w:rFonts w:ascii="Arial" w:cs="Arial" w:eastAsia="Arial" w:hAnsi="Arial"/>
          <w:b/>
          <w:bCs/>
          <w:color w:val="2E75B6"/>
          <w:sz w:val="22"/>
          <w:szCs w:val="22"/>
        </w:rPr>
        <w:t xml:space="preserve">Terrain, not just stars</w:t>
      </w:r>
    </w:p>
    <w:p>
      <w:pPr>
        <w:spacing w:after="160" w:line="300"/>
      </w:pPr>
      <w:r>
        <w:rPr>
          <w:rFonts w:ascii="Arial" w:cs="Arial" w:eastAsia="Arial" w:hAnsi="Arial"/>
          <w:color w:val="2D2D2D"/>
          <w:sz w:val="22"/>
          <w:szCs w:val="22"/>
        </w:rPr>
        <w:t xml:space="preserve">Ground the space metaphor in planetary surfaces—topography, atmosphere, ecosystems. Think less “floating in the void” and more “surveying a new landscape, understanding its geology, figuring out where to build.” The development environment is a landscape with its own terrain.</w:t>
      </w:r>
    </w:p>
    <w:p>
      <w:pPr>
        <w:spacing w:after="80" w:before="200"/>
      </w:pPr>
      <w:r>
        <w:rPr>
          <w:rFonts w:ascii="Arial" w:cs="Arial" w:eastAsia="Arial" w:hAnsi="Arial"/>
          <w:b/>
          <w:bCs/>
          <w:color w:val="2E75B6"/>
          <w:sz w:val="22"/>
          <w:szCs w:val="22"/>
        </w:rPr>
        <w:t xml:space="preserve">Atmosphere as design concept</w:t>
      </w:r>
    </w:p>
    <w:p>
      <w:pPr>
        <w:spacing w:after="160" w:line="300"/>
      </w:pPr>
      <w:r>
        <w:rPr>
          <w:rFonts w:ascii="Arial" w:cs="Arial" w:eastAsia="Arial" w:hAnsi="Arial"/>
          <w:color w:val="2D2D2D"/>
          <w:sz w:val="22"/>
          <w:szCs w:val="22"/>
        </w:rPr>
        <w:t xml:space="preserve">“Creating a habitable climate” can literally inform color and light. Early exploration content could have a thinner, cooler atmosphere—more exposed, more raw. As someone progresses and starts building sustainable things, the palette warms, the environment becomes more layered and sheltered. Design tokens could shift subtly across the journey.</w:t>
      </w:r>
    </w:p>
    <w:p>
      <w:pPr>
        <w:spacing w:after="80" w:before="200"/>
      </w:pPr>
      <w:r>
        <w:rPr>
          <w:rFonts w:ascii="Arial" w:cs="Arial" w:eastAsia="Arial" w:hAnsi="Arial"/>
          <w:b/>
          <w:bCs/>
          <w:color w:val="2E75B6"/>
          <w:sz w:val="22"/>
          <w:szCs w:val="22"/>
        </w:rPr>
        <w:t xml:space="preserve">Instruments over weapons</w:t>
      </w:r>
    </w:p>
    <w:p>
      <w:pPr>
        <w:spacing w:after="160" w:line="300"/>
      </w:pPr>
      <w:r>
        <w:rPr>
          <w:rFonts w:ascii="Arial" w:cs="Arial" w:eastAsia="Arial" w:hAnsi="Arial"/>
          <w:color w:val="2D2D2D"/>
          <w:sz w:val="22"/>
          <w:szCs w:val="22"/>
        </w:rPr>
        <w:t xml:space="preserve">The metaphor leans toward instruments—scanners, sensors, mapping tools. The debugger is a sensor. The test suite is a survey instrument. Observability is atmospheric monitoring. This reinforces the “visibility as power” disposition the program builds.</w:t>
      </w:r>
    </w:p>
    <w:p>
      <w:pPr>
        <w:spacing w:after="80" w:before="200"/>
      </w:pPr>
      <w:r>
        <w:rPr>
          <w:rFonts w:ascii="Arial" w:cs="Arial" w:eastAsia="Arial" w:hAnsi="Arial"/>
          <w:b/>
          <w:bCs/>
          <w:color w:val="2E75B6"/>
          <w:sz w:val="22"/>
          <w:szCs w:val="22"/>
        </w:rPr>
        <w:t xml:space="preserve">Basecamp as community</w:t>
      </w:r>
    </w:p>
    <w:p>
      <w:pPr>
        <w:spacing w:after="160" w:line="300"/>
      </w:pPr>
      <w:r>
        <w:rPr>
          <w:rFonts w:ascii="Arial" w:cs="Arial" w:eastAsia="Arial" w:hAnsi="Arial"/>
          <w:color w:val="2D2D2D"/>
          <w:sz w:val="22"/>
          <w:szCs w:val="22"/>
        </w:rPr>
        <w:t xml:space="preserve">The community of practice is a basecamp—where you return after exploring, share what you found, resupply, and plan the next expedition. Presentations happen at basecamp. Challenges launch from basecamp. Community spaces should feel sheltered, warm, collaborative—distinct from exploration spaces which feel more open and exposed.</w:t>
      </w:r>
    </w:p>
    <w:p>
      <w:pPr>
        <w:pStyle w:val="Heading2"/>
      </w:pPr>
      <w:r>
        <w:rPr>
          <w:color w:val="1F3864"/>
        </w:rPr>
        <w:t xml:space="preserve">7.3 Design System Foundation</w:t>
      </w:r>
    </w:p>
    <w:p>
      <w:pPr>
        <w:spacing w:after="160" w:line="300"/>
      </w:pPr>
      <w:r>
        <w:rPr>
          <w:rFonts w:ascii="Arial" w:cs="Arial" w:eastAsia="Arial" w:hAnsi="Arial"/>
          <w:color w:val="2D2D2D"/>
          <w:sz w:val="22"/>
          <w:szCs w:val="22"/>
        </w:rPr>
        <w:t xml:space="preserve">Each project built through the program has its own visual identity, but all are built on a shared component library. The act of customizing design tokens is itself a judgment exercise—choosing what to express and what to inherit. The portal demonstrates this by practicing it: the portal uses a base system, and each cohort or project space gets its own token customization.</w:t>
      </w:r>
    </w:p>
    <w:p>
      <w:pPr>
        <w:spacing w:after="160" w:line="300"/>
      </w:pPr>
      <w:r>
        <w:rPr>
          <w:rFonts w:ascii="Arial" w:cs="Arial" w:eastAsia="Arial" w:hAnsi="Arial"/>
          <w:color w:val="2D2D2D"/>
          <w:sz w:val="22"/>
          <w:szCs w:val="22"/>
        </w:rPr>
        <w:t xml:space="preserve">Base component libraries (such as shadcn/ui or Material UI) serve as the starting foundation. Projects customize through design tokens: color palettes, typography scales, spacing, border treatments. This customization is part of the curriculum, not incidental to it.</w:t>
      </w:r>
    </w:p>
    <w:p>
      <w:pPr>
        <w:spacing w:after="160" w:line="300"/>
      </w:pPr>
      <w:r>
        <w:rPr>
          <w:rFonts w:ascii="Arial" w:cs="Arial" w:eastAsia="Arial" w:hAnsi="Arial"/>
          <w:color w:val="2D2D2D"/>
          <w:sz w:val="22"/>
          <w:szCs w:val="22"/>
        </w:rPr>
        <w:t xml:space="preserve">All frontend artifacts must use system font stacks and avoid external CDN dependencies, reflecting real enterprise infrastructure constraints and teaching professionals to build within them.</w:t>
      </w:r>
    </w:p>
    <w:p>
      <w:pPr>
        <w:pBdr>
          <w:bottom w:val="single" w:color="2E75B6" w:sz="4" w:space="1"/>
        </w:pBdr>
        <w:spacing w:after="200" w:before="200"/>
      </w:pPr>
    </w:p>
    <w:p>
      <w:pPr>
        <w:pStyle w:val="Heading1"/>
      </w:pPr>
      <w:r>
        <w:rPr>
          <w:color w:val="1F3864"/>
        </w:rPr>
        <w:t xml:space="preserve">8. Design Token Direction</w:t>
      </w:r>
    </w:p>
    <w:p>
      <w:pPr>
        <w:spacing w:after="160" w:line="300"/>
      </w:pPr>
      <w:r>
        <w:rPr>
          <w:rFonts w:ascii="Arial" w:cs="Arial" w:eastAsia="Arial" w:hAnsi="Arial"/>
          <w:color w:val="2D2D2D"/>
          <w:sz w:val="22"/>
          <w:szCs w:val="22"/>
        </w:rPr>
        <w:t xml:space="preserve">The following token categories should be defined for the portal’s base theme. Individual project themes will override specific tokens while inheriting the rest.</w:t>
      </w:r>
    </w:p>
    <w:p>
      <w:pPr>
        <w:spacing w:after="80" w:before="200"/>
      </w:pPr>
      <w:r>
        <w:rPr>
          <w:rFonts w:ascii="Arial" w:cs="Arial" w:eastAsia="Arial" w:hAnsi="Arial"/>
          <w:b/>
          <w:bCs/>
          <w:color w:val="2E75B6"/>
          <w:sz w:val="22"/>
          <w:szCs w:val="22"/>
        </w:rPr>
        <w:t xml:space="preserve">Color</w:t>
      </w:r>
    </w:p>
    <w:p>
      <w:pPr>
        <w:pStyle w:val="ListParagraph"/>
        <w:numPr>
          <w:ilvl w:val="0"/>
          <w:numId w:val="2"/>
        </w:numPr>
        <w:spacing w:after="80" w:line="280"/>
      </w:pPr>
      <w:r>
        <w:rPr>
          <w:rFonts w:ascii="Arial" w:cs="Arial" w:eastAsia="Arial" w:hAnsi="Arial"/>
          <w:b/>
          <w:bCs/>
          <w:color w:val="2D2D2D"/>
          <w:sz w:val="22"/>
          <w:szCs w:val="22"/>
        </w:rPr>
        <w:t xml:space="preserve">Deep space navy </w:t>
      </w:r>
      <w:r>
        <w:rPr>
          <w:rFonts w:ascii="Arial" w:cs="Arial" w:eastAsia="Arial" w:hAnsi="Arial"/>
          <w:color w:val="2D2D2D"/>
          <w:sz w:val="22"/>
          <w:szCs w:val="22"/>
        </w:rPr>
        <w:t xml:space="preserve">— primary brand, headers, navigation, authority</w:t>
      </w:r>
    </w:p>
    <w:p>
      <w:pPr>
        <w:pStyle w:val="ListParagraph"/>
        <w:numPr>
          <w:ilvl w:val="0"/>
          <w:numId w:val="2"/>
        </w:numPr>
        <w:spacing w:after="80" w:line="280"/>
      </w:pPr>
      <w:r>
        <w:rPr>
          <w:rFonts w:ascii="Arial" w:cs="Arial" w:eastAsia="Arial" w:hAnsi="Arial"/>
          <w:b/>
          <w:bCs/>
          <w:color w:val="2D2D2D"/>
          <w:sz w:val="22"/>
          <w:szCs w:val="22"/>
        </w:rPr>
        <w:t xml:space="preserve">Instrument blue </w:t>
      </w:r>
      <w:r>
        <w:rPr>
          <w:rFonts w:ascii="Arial" w:cs="Arial" w:eastAsia="Arial" w:hAnsi="Arial"/>
          <w:color w:val="2D2D2D"/>
          <w:sz w:val="22"/>
          <w:szCs w:val="22"/>
        </w:rPr>
        <w:t xml:space="preserve">— interactive elements, links, reference panels, active states</w:t>
      </w:r>
    </w:p>
    <w:p>
      <w:pPr>
        <w:pStyle w:val="ListParagraph"/>
        <w:numPr>
          <w:ilvl w:val="0"/>
          <w:numId w:val="2"/>
        </w:numPr>
        <w:spacing w:after="80" w:line="280"/>
      </w:pPr>
      <w:r>
        <w:rPr>
          <w:rFonts w:ascii="Arial" w:cs="Arial" w:eastAsia="Arial" w:hAnsi="Arial"/>
          <w:b/>
          <w:bCs/>
          <w:color w:val="2D2D2D"/>
          <w:sz w:val="22"/>
          <w:szCs w:val="22"/>
        </w:rPr>
        <w:t xml:space="preserve">Signal orange </w:t>
      </w:r>
      <w:r>
        <w:rPr>
          <w:rFonts w:ascii="Arial" w:cs="Arial" w:eastAsia="Arial" w:hAnsi="Arial"/>
          <w:color w:val="2D2D2D"/>
          <w:sz w:val="22"/>
          <w:szCs w:val="22"/>
        </w:rPr>
        <w:t xml:space="preserve">— accent, calls to action, important callouts, submission states</w:t>
      </w:r>
    </w:p>
    <w:p>
      <w:pPr>
        <w:pStyle w:val="ListParagraph"/>
        <w:numPr>
          <w:ilvl w:val="0"/>
          <w:numId w:val="2"/>
        </w:numPr>
        <w:spacing w:after="80" w:line="280"/>
      </w:pPr>
      <w:r>
        <w:rPr>
          <w:rFonts w:ascii="Arial" w:cs="Arial" w:eastAsia="Arial" w:hAnsi="Arial"/>
          <w:b/>
          <w:bCs/>
          <w:color w:val="2D2D2D"/>
          <w:sz w:val="22"/>
          <w:szCs w:val="22"/>
        </w:rPr>
        <w:t xml:space="preserve">Atmosphere gradients </w:t>
      </w:r>
      <w:r>
        <w:rPr>
          <w:rFonts w:ascii="Arial" w:cs="Arial" w:eastAsia="Arial" w:hAnsi="Arial"/>
          <w:color w:val="2D2D2D"/>
          <w:sz w:val="22"/>
          <w:szCs w:val="22"/>
        </w:rPr>
        <w:t xml:space="preserve">— subtle background shifts from cooler (exploration content) to warmer (community/basecamp content)</w:t>
      </w:r>
    </w:p>
    <w:p>
      <w:pPr>
        <w:pStyle w:val="ListParagraph"/>
        <w:numPr>
          <w:ilvl w:val="0"/>
          <w:numId w:val="2"/>
        </w:numPr>
        <w:spacing w:after="80" w:line="280"/>
      </w:pPr>
      <w:r>
        <w:rPr>
          <w:rFonts w:ascii="Arial" w:cs="Arial" w:eastAsia="Arial" w:hAnsi="Arial"/>
          <w:b/>
          <w:bCs/>
          <w:color w:val="2D2D2D"/>
          <w:sz w:val="22"/>
          <w:szCs w:val="22"/>
        </w:rPr>
        <w:t xml:space="preserve">Terrain neutrals </w:t>
      </w:r>
      <w:r>
        <w:rPr>
          <w:rFonts w:ascii="Arial" w:cs="Arial" w:eastAsia="Arial" w:hAnsi="Arial"/>
          <w:color w:val="2D2D2D"/>
          <w:sz w:val="22"/>
          <w:szCs w:val="22"/>
        </w:rPr>
        <w:t xml:space="preserve">— content backgrounds, card surfaces, readable text</w:t>
      </w:r>
    </w:p>
    <w:p>
      <w:pPr>
        <w:spacing w:after="80" w:before="200"/>
      </w:pPr>
      <w:r>
        <w:rPr>
          <w:rFonts w:ascii="Arial" w:cs="Arial" w:eastAsia="Arial" w:hAnsi="Arial"/>
          <w:b/>
          <w:bCs/>
          <w:color w:val="2E75B6"/>
          <w:sz w:val="22"/>
          <w:szCs w:val="22"/>
        </w:rPr>
        <w:t xml:space="preserve">Typography</w:t>
      </w:r>
    </w:p>
    <w:p>
      <w:pPr>
        <w:spacing w:after="160" w:line="300"/>
      </w:pPr>
      <w:r>
        <w:rPr>
          <w:rFonts w:ascii="Arial" w:cs="Arial" w:eastAsia="Arial" w:hAnsi="Arial"/>
          <w:color w:val="2D2D2D"/>
          <w:sz w:val="22"/>
          <w:szCs w:val="22"/>
        </w:rPr>
        <w:t xml:space="preserve">System font stack. Clear hierarchy: display for page titles, heading weights for section structure, body for readable long-form content in devlogs and reference material. Monospace for code and artifact contexts.</w:t>
      </w:r>
    </w:p>
    <w:p>
      <w:pPr>
        <w:spacing w:after="80" w:before="200"/>
      </w:pPr>
      <w:r>
        <w:rPr>
          <w:rFonts w:ascii="Arial" w:cs="Arial" w:eastAsia="Arial" w:hAnsi="Arial"/>
          <w:b/>
          <w:bCs/>
          <w:color w:val="2E75B6"/>
          <w:sz w:val="22"/>
          <w:szCs w:val="22"/>
        </w:rPr>
        <w:t xml:space="preserve">Spacing and Layout</w:t>
      </w:r>
    </w:p>
    <w:p>
      <w:pPr>
        <w:spacing w:after="160" w:line="300"/>
      </w:pPr>
      <w:r>
        <w:rPr>
          <w:rFonts w:ascii="Arial" w:cs="Arial" w:eastAsia="Arial" w:hAnsi="Arial"/>
          <w:color w:val="2D2D2D"/>
          <w:sz w:val="22"/>
          <w:szCs w:val="22"/>
        </w:rPr>
        <w:t xml:space="preserve">Generous whitespace reflecting the openness of exploration. Denser layouts in community/basecamp contexts where collaboration and information density matter. Challenge cards and devlogs should breathe; gallery views can be tighter.</w:t>
      </w:r>
    </w:p>
    <w:p>
      <w:pPr>
        <w:spacing w:after="80" w:before="200"/>
      </w:pPr>
      <w:r>
        <w:rPr>
          <w:rFonts w:ascii="Arial" w:cs="Arial" w:eastAsia="Arial" w:hAnsi="Arial"/>
          <w:b/>
          <w:bCs/>
          <w:color w:val="2E75B6"/>
          <w:sz w:val="22"/>
          <w:szCs w:val="22"/>
        </w:rPr>
        <w:t xml:space="preserve">Elevation and Depth</w:t>
      </w:r>
    </w:p>
    <w:p>
      <w:pPr>
        <w:spacing w:after="160" w:line="300"/>
      </w:pPr>
      <w:r>
        <w:rPr>
          <w:rFonts w:ascii="Arial" w:cs="Arial" w:eastAsia="Arial" w:hAnsi="Arial"/>
          <w:color w:val="2D2D2D"/>
          <w:sz w:val="22"/>
          <w:szCs w:val="22"/>
        </w:rPr>
        <w:t xml:space="preserve">Subtle layering to create the sense of atmosphere. Artifact renderers feel like viewports into a running environment. Devlogs feel like grounded, written surfaces. Reference panels slide in from the side like instrument readouts.</w:t>
      </w:r>
    </w:p>
    <w:p>
      <w:pPr>
        <w:pBdr>
          <w:bottom w:val="single" w:color="2E75B6" w:sz="4" w:space="1"/>
        </w:pBdr>
        <w:spacing w:after="200" w:before="200"/>
      </w:pPr>
    </w:p>
    <w:p>
      <w:pPr>
        <w:pStyle w:val="Heading1"/>
      </w:pPr>
      <w:r>
        <w:rPr>
          <w:color w:val="1F3864"/>
        </w:rPr>
        <w:t xml:space="preserve">9. Key Principles for Design and Development</w:t>
      </w:r>
    </w:p>
    <w:p>
      <w:pPr>
        <w:pStyle w:val="ListParagraph"/>
        <w:numPr>
          <w:ilvl w:val="0"/>
          <w:numId w:val="2"/>
        </w:numPr>
        <w:spacing w:after="80" w:line="280"/>
      </w:pPr>
      <w:r>
        <w:rPr>
          <w:rFonts w:ascii="Arial" w:cs="Arial" w:eastAsia="Arial" w:hAnsi="Arial"/>
          <w:b/>
          <w:bCs/>
          <w:color w:val="2D2D2D"/>
          <w:sz w:val="22"/>
          <w:szCs w:val="22"/>
        </w:rPr>
        <w:t xml:space="preserve">The portal practices what it teaches. </w:t>
      </w:r>
      <w:r>
        <w:rPr>
          <w:rFonts w:ascii="Arial" w:cs="Arial" w:eastAsia="Arial" w:hAnsi="Arial"/>
          <w:color w:val="2D2D2D"/>
          <w:sz w:val="22"/>
          <w:szCs w:val="22"/>
        </w:rPr>
        <w:t xml:space="preserve">If the program teaches design system customization, the portal itself demonstrates it. If the program teaches visibility, the portal’s error states are informative, not hidden.</w:t>
      </w:r>
    </w:p>
    <w:p>
      <w:pPr>
        <w:pStyle w:val="ListParagraph"/>
        <w:numPr>
          <w:ilvl w:val="0"/>
          <w:numId w:val="2"/>
        </w:numPr>
        <w:spacing w:after="80" w:line="280"/>
      </w:pPr>
      <w:r>
        <w:rPr>
          <w:rFonts w:ascii="Arial" w:cs="Arial" w:eastAsia="Arial" w:hAnsi="Arial"/>
          <w:b/>
          <w:bCs/>
          <w:color w:val="2D2D2D"/>
          <w:sz w:val="22"/>
          <w:szCs w:val="22"/>
        </w:rPr>
        <w:t xml:space="preserve">Show before tell. </w:t>
      </w:r>
      <w:r>
        <w:rPr>
          <w:rFonts w:ascii="Arial" w:cs="Arial" w:eastAsia="Arial" w:hAnsi="Arial"/>
          <w:color w:val="2D2D2D"/>
          <w:sz w:val="22"/>
          <w:szCs w:val="22"/>
        </w:rPr>
        <w:t xml:space="preserve">Every concept is demonstrated through real work before it’s explained in reference material.</w:t>
      </w:r>
    </w:p>
    <w:p>
      <w:pPr>
        <w:pStyle w:val="ListParagraph"/>
        <w:numPr>
          <w:ilvl w:val="0"/>
          <w:numId w:val="2"/>
        </w:numPr>
        <w:spacing w:after="80" w:line="280"/>
      </w:pPr>
      <w:r>
        <w:rPr>
          <w:rFonts w:ascii="Arial" w:cs="Arial" w:eastAsia="Arial" w:hAnsi="Arial"/>
          <w:b/>
          <w:bCs/>
          <w:color w:val="2D2D2D"/>
          <w:sz w:val="22"/>
          <w:szCs w:val="22"/>
        </w:rPr>
        <w:t xml:space="preserve">Decisions made visible. </w:t>
      </w:r>
      <w:r>
        <w:rPr>
          <w:rFonts w:ascii="Arial" w:cs="Arial" w:eastAsia="Arial" w:hAnsi="Arial"/>
          <w:color w:val="2D2D2D"/>
          <w:sz w:val="22"/>
          <w:szCs w:val="22"/>
        </w:rPr>
        <w:t xml:space="preserve">When showing projects, presentations, or examples, the choices that were made and why are surfaced as first-class content.</w:t>
      </w:r>
    </w:p>
    <w:p>
      <w:pPr>
        <w:pStyle w:val="ListParagraph"/>
        <w:numPr>
          <w:ilvl w:val="0"/>
          <w:numId w:val="2"/>
        </w:numPr>
        <w:spacing w:after="80" w:line="280"/>
      </w:pPr>
      <w:r>
        <w:rPr>
          <w:rFonts w:ascii="Arial" w:cs="Arial" w:eastAsia="Arial" w:hAnsi="Arial"/>
          <w:b/>
          <w:bCs/>
          <w:color w:val="2D2D2D"/>
          <w:sz w:val="22"/>
          <w:szCs w:val="22"/>
        </w:rPr>
        <w:t xml:space="preserve">Scaffolding, not levels. </w:t>
      </w:r>
      <w:r>
        <w:rPr>
          <w:rFonts w:ascii="Arial" w:cs="Arial" w:eastAsia="Arial" w:hAnsi="Arial"/>
          <w:color w:val="2D2D2D"/>
          <w:sz w:val="22"/>
          <w:szCs w:val="22"/>
        </w:rPr>
        <w:t xml:space="preserve">The density of guidance communicates where someone is, not labels. No “beginner/intermediate/advanced.”</w:t>
      </w:r>
    </w:p>
    <w:p>
      <w:pPr>
        <w:pStyle w:val="ListParagraph"/>
        <w:numPr>
          <w:ilvl w:val="0"/>
          <w:numId w:val="2"/>
        </w:numPr>
        <w:spacing w:after="80" w:line="280"/>
      </w:pPr>
      <w:r>
        <w:rPr>
          <w:rFonts w:ascii="Arial" w:cs="Arial" w:eastAsia="Arial" w:hAnsi="Arial"/>
          <w:b/>
          <w:bCs/>
          <w:color w:val="2D2D2D"/>
          <w:sz w:val="22"/>
          <w:szCs w:val="22"/>
        </w:rPr>
        <w:t xml:space="preserve">Instruments, not magic. </w:t>
      </w:r>
      <w:r>
        <w:rPr>
          <w:rFonts w:ascii="Arial" w:cs="Arial" w:eastAsia="Arial" w:hAnsi="Arial"/>
          <w:color w:val="2D2D2D"/>
          <w:sz w:val="22"/>
          <w:szCs w:val="22"/>
        </w:rPr>
        <w:t xml:space="preserve">Every tool in the portal should make the user more capable, not more dependent. Debugging tools, self-assessment, reference panels—all increase the person’s power and visibility.</w:t>
      </w:r>
    </w:p>
    <w:p>
      <w:pPr>
        <w:pStyle w:val="ListParagraph"/>
        <w:numPr>
          <w:ilvl w:val="0"/>
          <w:numId w:val="2"/>
        </w:numPr>
        <w:spacing w:after="80" w:line="280"/>
      </w:pPr>
      <w:r>
        <w:rPr>
          <w:rFonts w:ascii="Arial" w:cs="Arial" w:eastAsia="Arial" w:hAnsi="Arial"/>
          <w:b/>
          <w:bCs/>
          <w:color w:val="2D2D2D"/>
          <w:sz w:val="22"/>
          <w:szCs w:val="22"/>
        </w:rPr>
        <w:t xml:space="preserve">Community is the curriculum. </w:t>
      </w:r>
      <w:r>
        <w:rPr>
          <w:rFonts w:ascii="Arial" w:cs="Arial" w:eastAsia="Arial" w:hAnsi="Arial"/>
          <w:color w:val="2D2D2D"/>
          <w:sz w:val="22"/>
          <w:szCs w:val="22"/>
        </w:rPr>
        <w:t xml:space="preserve">Peer work, presentations, feedback, and shared challenges are as important as any content. The portal’s social features are not ancillary—they are core.</w:t>
      </w:r>
    </w:p>
    <w:p>
      <w:pPr>
        <w:pStyle w:val="ListParagraph"/>
        <w:numPr>
          <w:ilvl w:val="0"/>
          <w:numId w:val="2"/>
        </w:numPr>
        <w:spacing w:after="80" w:line="280"/>
      </w:pPr>
      <w:r>
        <w:rPr>
          <w:rFonts w:ascii="Arial" w:cs="Arial" w:eastAsia="Arial" w:hAnsi="Arial"/>
          <w:b/>
          <w:bCs/>
          <w:color w:val="2D2D2D"/>
          <w:sz w:val="22"/>
          <w:szCs w:val="22"/>
        </w:rPr>
        <w:t xml:space="preserve">Portable artifacts. </w:t>
      </w:r>
      <w:r>
        <w:rPr>
          <w:rFonts w:ascii="Arial" w:cs="Arial" w:eastAsia="Arial" w:hAnsi="Arial"/>
          <w:color w:val="2D2D2D"/>
          <w:sz w:val="22"/>
          <w:szCs w:val="22"/>
        </w:rPr>
        <w:t xml:space="preserve">Things people create—one-pagers, videos, prototypes, devlogs—are designed to leave the portal and enter their organization. The shareable portfolio view is not an afterthought.</w:t>
      </w:r>
    </w:p>
    <w:p>
      <w:pPr>
        <w:pStyle w:val="ListParagraph"/>
        <w:numPr>
          <w:ilvl w:val="0"/>
          <w:numId w:val="2"/>
        </w:numPr>
        <w:spacing w:after="80" w:line="280"/>
      </w:pPr>
      <w:r>
        <w:rPr>
          <w:rFonts w:ascii="Arial" w:cs="Arial" w:eastAsia="Arial" w:hAnsi="Arial"/>
          <w:b/>
          <w:bCs/>
          <w:color w:val="2D2D2D"/>
          <w:sz w:val="22"/>
          <w:szCs w:val="22"/>
        </w:rPr>
        <w:t xml:space="preserve">Private reflection, public portfolio. </w:t>
      </w:r>
      <w:r>
        <w:rPr>
          <w:rFonts w:ascii="Arial" w:cs="Arial" w:eastAsia="Arial" w:hAnsi="Arial"/>
          <w:color w:val="2D2D2D"/>
          <w:sz w:val="22"/>
          <w:szCs w:val="22"/>
        </w:rPr>
        <w:t xml:space="preserve">Self-assessment and goal evolution are private. Completed work and community engagement are shareable. The person controls the boundary.</w:t>
      </w:r>
    </w:p>
    <w:p>
      <w:pPr>
        <w:spacing w:after="400"/>
      </w:pPr>
    </w:p>
    <w:p>
      <w:pPr>
        <w:pBdr>
          <w:top w:val="single" w:color="C55A11" w:sz="4" w:space="8"/>
        </w:pBdr>
        <w:spacing w:before="200"/>
        <w:jc w:val="center"/>
      </w:pPr>
      <w:r>
        <w:rPr>
          <w:rFonts w:ascii="Arial" w:cs="Arial" w:eastAsia="Arial" w:hAnsi="Arial"/>
          <w:i/>
          <w:iCs/>
          <w:color w:val="2E75B6"/>
          <w:sz w:val="20"/>
          <w:szCs w:val="20"/>
        </w:rPr>
        <w:t xml:space="preserve">End of Creative Brief</w:t>
      </w:r>
    </w:p>
    <w:sectPr>
      <w:headerReference w:type="default" r:id="rId7"/>
      <w:footerReference w:type="default" r:id="rId8"/>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2E75B6"/>
        <w:sz w:val="18"/>
        <w:szCs w:val="18"/>
      </w:rPr>
      <w:t xml:space="preserve">Page </w:t>
    </w:r>
    <w:r>
      <w:rPr>
        <w:rFonts w:ascii="Arial" w:cs="Arial" w:eastAsia="Arial" w:hAnsi="Arial"/>
        <w:color w:val="2E75B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tabs>
        <w:tab w:val="right" w:pos="9026"/>
      </w:tabs>
    </w:pPr>
    <w:r>
      <w:rPr>
        <w:rFonts w:ascii="Arial" w:cs="Arial" w:eastAsia="Arial" w:hAnsi="Arial"/>
        <w:i/>
        <w:iCs/>
        <w:color w:val="2E75B6"/>
        <w:sz w:val="18"/>
        <w:szCs w:val="18"/>
      </w:rPr>
      <w:t xml:space="preserve">AI Builders Portal</w:t>
    </w:r>
    <w:r>
      <w:rPr>
        <w:rFonts w:ascii="Arial" w:cs="Arial" w:eastAsia="Arial" w:hAnsi="Arial"/>
        <w:color w:val="2E75B6"/>
        <w:sz w:val="18"/>
        <w:szCs w:val="18"/>
      </w:rPr>
      <w:t xml:space="preserve">	Creative Brief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sz w:val="36"/>
      <w:szCs w:val="36"/>
    </w:rPr>
  </w:style>
  <w:style w:type="paragraph" w:styleId="Heading2">
    <w:name w:val="Heading 2"/>
    <w:basedOn w:val="Normal"/>
    <w:next w:val="Normal"/>
    <w:qFormat/>
    <w:pPr>
      <w:spacing w:after="160" w:before="2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2026-04-05T16:07:38.839Z</dcterms:created>
  <dcterms:modified xsi:type="dcterms:W3CDTF">2026-04-05T16:07:38.840Z</dcterms:modified>
</cp:coreProperties>
</file>

<file path=docProps/custom.xml><?xml version="1.0" encoding="utf-8"?>
<Properties xmlns="http://schemas.openxmlformats.org/officeDocument/2006/custom-properties" xmlns:vt="http://schemas.openxmlformats.org/officeDocument/2006/docPropsVTypes"/>
</file>