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MALAR Web Interface</w:t>
      </w:r>
    </w:p>
    <w:p>
      <w:pPr>
        <w:pStyle w:val="Subtitle"/>
      </w:pPr>
      <w:r>
        <w:t xml:space="preserve">Operator runbook — every tab, the end-to-end workflow, LLM/provider setup, debugging, and troubleshooting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Web UI: </w:t>
      </w:r>
      <w:r>
        <w:rPr>
          <w:rFonts w:ascii="Consolas" w:cs="Consolas" w:eastAsia="Consolas" w:hAnsi="Consolas"/>
        </w:rPr>
        <w:t xml:space="preserve">http://localhost:3000</w:t>
      </w:r>
      <w:r>
        <w:rPr>
          <w:rFonts w:ascii="Calibri" w:cs="Calibri" w:eastAsia="Calibri" w:hAnsi="Calibri"/>
          <w:b/>
          <w:bCs/>
        </w:rPr>
        <w:t xml:space="preserve">    API: </w:t>
      </w:r>
      <w:r>
        <w:rPr>
          <w:rFonts w:ascii="Consolas" w:cs="Consolas" w:eastAsia="Consolas" w:hAnsi="Consolas"/>
        </w:rPr>
        <w:t xml:space="preserve">http://localhost:8000</w:t>
      </w:r>
      <w:r>
        <w:rPr>
          <w:rFonts w:ascii="Calibri" w:cs="Calibri" w:eastAsia="Calibri" w:hAnsi="Calibri"/>
          <w:b/>
          <w:bCs/>
        </w:rPr>
        <w:t xml:space="preserve">    Gateway: </w:t>
      </w:r>
      <w:r>
        <w:rPr>
          <w:rFonts w:ascii="Consolas" w:cs="Consolas" w:eastAsia="Consolas" w:hAnsi="Consolas"/>
        </w:rPr>
        <w:t xml:space="preserve">http://localhost:4000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Start the system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Open PowerShell in the project folder: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cd C:\Users\HP\OneDrive\MALAR_V2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Create the env file (first time) and set the passwords: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copy .env.example .env
notepad .env   # set NEO4J_PASSWORD, LITELLM_MASTER_KEY, LITELLM_SALT_KEY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Build and start the six services: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up -d --build
docker compose ps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Pull the local model (first time):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exec ollama ollama pull gemma3n:e4b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Open the UI: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start http://localhost:3000</w:t>
      </w:r>
    </w:p>
    <w:p>
      <w:pPr>
        <w:pBdr>
          <w:left w:val="single" w:color="E0A800" w:sz="18" w:space="8"/>
        </w:pBdr>
        <w:shd w:fill="FFF6E5" w:val="clear"/>
        <w:spacing w:after="120" w:before="60"/>
      </w:pPr>
      <w:r>
        <w:rPr>
          <w:b/>
          <w:bCs/>
          <w:color w:val="9A6A00"/>
        </w:rPr>
        <w:t xml:space="preserve">Tip:  </w:t>
      </w:r>
      <w:r>
        <w:rPr>
          <w:color w:val="5A4500"/>
        </w:rPr>
        <w:t xml:space="preserve">If you changed any UI source, rebuild just the web app with “docker compose up -d --build webapp”, then hard-refresh the browser (Ctrl+Shift+R) to clear the cached bundle.</w:t>
      </w:r>
    </w:p>
    <w:p>
      <w:pPr>
        <w:pStyle w:val="Heading1"/>
      </w:pPr>
      <w:r>
        <w:t xml:space="preserve">2. The header (always visible)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Domain selector </w:t>
      </w:r>
      <w:r>
        <w:rPr>
          <w:rFonts w:ascii="Calibri" w:cs="Calibri" w:eastAsia="Calibri" w:hAnsi="Calibri"/>
        </w:rPr>
        <w:t xml:space="preserve">— the active domain; everything in the app is scoped to it.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Mode badge </w:t>
      </w:r>
      <w:r>
        <w:rPr>
          <w:rFonts w:ascii="Calibri" w:cs="Calibri" w:eastAsia="Calibri" w:hAnsi="Calibri"/>
        </w:rPr>
        <w:t xml:space="preserve">— supervised or unsupervised.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Review </w:t>
      </w:r>
      <w:r>
        <w:rPr>
          <w:rFonts w:ascii="Calibri" w:cs="Calibri" w:eastAsia="Calibri" w:hAnsi="Calibri"/>
        </w:rPr>
        <w:t xml:space="preserve">— when on, each pipeline stage pauses for approval.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Debug </w:t>
      </w:r>
      <w:r>
        <w:rPr>
          <w:rFonts w:ascii="Calibri" w:cs="Calibri" w:eastAsia="Calibri" w:hAnsi="Calibri"/>
        </w:rPr>
        <w:t xml:space="preserve">— reveals the per-agent panels (Train tab) and the full Input inspector + agent/gate/curator panels (Debug tab).</w:t>
      </w:r>
    </w:p>
    <w:p>
      <w:pPr>
        <w:pStyle w:val="Heading1"/>
      </w:pPr>
      <w:r>
        <w:t xml:space="preserve">3. The tabs</w:t>
      </w:r>
    </w:p>
    <w:p>
      <w:pPr>
        <w:pStyle w:val="Heading2"/>
      </w:pPr>
      <w:r>
        <w:t xml:space="preserve">3.1 Domains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Create, select, reset and delete domains. Each domain is fully isolated (its own memory graph, vector collection and folders), so switching domains never mixes data.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Add domain </w:t>
      </w:r>
      <w:r>
        <w:rPr>
          <w:rFonts w:ascii="Calibri" w:cs="Calibri" w:eastAsia="Calibri" w:hAnsi="Calibri"/>
        </w:rPr>
        <w:t xml:space="preserve">— name + adapter type (raman / sensor / synthetic) + description.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Select </w:t>
      </w:r>
      <w:r>
        <w:rPr>
          <w:rFonts w:ascii="Calibri" w:cs="Calibri" w:eastAsia="Calibri" w:hAnsi="Calibri"/>
        </w:rPr>
        <w:t xml:space="preserve">— makes it active; the app rescopes to it.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Reset </w:t>
      </w:r>
      <w:r>
        <w:rPr>
          <w:rFonts w:ascii="Calibri" w:cs="Calibri" w:eastAsia="Calibri" w:hAnsi="Calibri"/>
        </w:rPr>
        <w:t xml:space="preserve">— wipes that domain’s learned memory but keeps its configuration.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Delete </w:t>
      </w:r>
      <w:r>
        <w:rPr>
          <w:rFonts w:ascii="Calibri" w:cs="Calibri" w:eastAsia="Calibri" w:hAnsi="Calibri"/>
        </w:rPr>
        <w:t xml:space="preserve">— removes the domain entirely.</w:t>
      </w:r>
    </w:p>
    <w:p>
      <w:pPr>
        <w:pStyle w:val="Heading2"/>
      </w:pPr>
      <w:r>
        <w:t xml:space="preserve">3.2 Configure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Define what the domain learns from.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Data folders </w:t>
      </w:r>
      <w:r>
        <w:rPr>
          <w:rFonts w:ascii="Calibri" w:cs="Calibri" w:eastAsia="Calibri" w:hAnsi="Calibri"/>
        </w:rPr>
        <w:t xml:space="preserve">— server-visible paths. Your repo is mounted at /app, so a folder inside it (e.g. Raman_Virus) is reachable as /app/Raman_Virus. Windows paths are auto-mapped to that mount.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Data description </w:t>
      </w:r>
      <w:r>
        <w:rPr>
          <w:rFonts w:ascii="Calibri" w:cs="Calibri" w:eastAsia="Calibri" w:hAnsi="Calibri"/>
        </w:rPr>
        <w:t xml:space="preserve">— free text describing the data; this is what the LLM reads to plan the domain.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DomainSpec </w:t>
      </w:r>
      <w:r>
        <w:rPr>
          <w:rFonts w:ascii="Calibri" w:cs="Calibri" w:eastAsia="Calibri" w:hAnsi="Calibri"/>
        </w:rPr>
        <w:t xml:space="preserve">— shows the objectives R, functional dims F, and coverage targets.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Plan with LLM </w:t>
      </w:r>
      <w:r>
        <w:rPr>
          <w:rFonts w:ascii="Calibri" w:cs="Calibri" w:eastAsia="Calibri" w:hAnsi="Calibri"/>
        </w:rPr>
        <w:t xml:space="preserve">— two buttons (“preview” and “apply to DomainSpec”). The Orchestrator sends your description to the LLM and proposes the objective/value/function fields and any extra agents.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LLM-assist per item </w:t>
      </w:r>
      <w:r>
        <w:rPr>
          <w:rFonts w:ascii="Calibri" w:cs="Calibri" w:eastAsia="Calibri" w:hAnsi="Calibri"/>
        </w:rPr>
        <w:t xml:space="preserve">— checkbox; when on, each training item also asks the LLM to identify the object and its functionalities (slower; off by default).</w:t>
      </w:r>
    </w:p>
    <w:p>
      <w:pPr>
        <w:pBdr>
          <w:left w:val="single" w:color="E0A800" w:sz="18" w:space="8"/>
        </w:pBdr>
        <w:shd w:fill="FFF6E5" w:val="clear"/>
        <w:spacing w:after="120" w:before="60"/>
      </w:pPr>
      <w:r>
        <w:rPr>
          <w:b/>
          <w:bCs/>
          <w:color w:val="9A6A00"/>
        </w:rPr>
        <w:t xml:space="preserve">Note:  </w:t>
      </w:r>
      <w:r>
        <w:rPr>
          <w:color w:val="5A4500"/>
        </w:rPr>
        <w:t xml:space="preserve">This is a BUTTON, not a checkbox, in the Configure tab. If you don’t see it, your web app is an older build — rebuild webapp and hard-refresh.</w:t>
      </w:r>
    </w:p>
    <w:p>
      <w:pPr>
        <w:pStyle w:val="Heading2"/>
      </w:pPr>
      <w:r>
        <w:t xml:space="preserve">3.3 Train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Two modes, chosen at the top of the tab.</w:t>
      </w:r>
    </w:p>
    <w:p>
      <w:pPr>
        <w:pStyle w:val="Heading3"/>
      </w:pPr>
      <w:r>
        <w:t xml:space="preserve">Supervised (one-at-a-time)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Walks the data item by item. For each item you see its world graph, persistence diagram and spectrum, plus the proposed identification, values (R) and affordances (F). Controls: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Confirm </w:t>
      </w:r>
      <w:r>
        <w:rPr>
          <w:rFonts w:ascii="Calibri" w:cs="Calibri" w:eastAsia="Calibri" w:hAnsi="Calibri"/>
        </w:rPr>
        <w:t xml:space="preserve">— commit the item to memory, anchored to its context.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Correct </w:t>
      </w:r>
      <w:r>
        <w:rPr>
          <w:rFonts w:ascii="Calibri" w:cs="Calibri" w:eastAsia="Calibri" w:hAnsi="Calibri"/>
        </w:rPr>
        <w:t xml:space="preserve">— opens a panel to fix the class label and objective value (sticky, human-sourced) AND edit every learning parameter (fusion weights, novelty thresholds, EMA, conformal/OOD, etc.).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Skip </w:t>
      </w:r>
      <w:r>
        <w:rPr>
          <w:rFonts w:ascii="Calibri" w:cs="Calibri" w:eastAsia="Calibri" w:hAnsi="Calibri"/>
        </w:rPr>
        <w:t xml:space="preserve">— move on without learning this item.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With Debug on, live per-agent panels appear under the item.</w:t>
      </w:r>
    </w:p>
    <w:p>
      <w:pPr>
        <w:pStyle w:val="Heading3"/>
      </w:pPr>
      <w:r>
        <w:t xml:space="preserve">Unsupervised (auto)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Auto-ingests the whole dataset (your real folder when configured, else synthetic), updating memory and vectors with live progress (coverage, novelty, OOD).</w:t>
      </w:r>
    </w:p>
    <w:p>
      <w:pPr>
        <w:pStyle w:val="Heading2"/>
      </w:pPr>
      <w:r>
        <w:t xml:space="preserve">3.4 World Graph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Cytoscape canvas of objects, memories and world contexts with edge-type filters. Click a node to see its class, provenance, world context and nearest vector neighbours. Opens in a standalone window.</w:t>
      </w:r>
    </w:p>
    <w:p>
      <w:pPr>
        <w:pStyle w:val="Heading2"/>
      </w:pPr>
      <w:r>
        <w:t xml:space="preserve">3.5 Knowledge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Shows what was learned: the per-class objective values {vₖ,ᴄ} (human-set values flagged orange and sticky), the affordances per class, and a coverage chart.</w:t>
      </w:r>
    </w:p>
    <w:p>
      <w:pPr>
        <w:pStyle w:val="Heading2"/>
      </w:pPr>
      <w:r>
        <w:t xml:space="preserve">3.6 Test &amp; Inference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Point at a test folder (blank = built-in synthetic test set) and run batch inference. You get a results table (identified object, action, confidence, OOD per item), a results file under data/domains/{id}/results/, and a comparison view (class distribution, OOD rate, overlap with trained classes).</w:t>
      </w:r>
    </w:p>
    <w:p>
      <w:pPr>
        <w:pStyle w:val="Heading2"/>
      </w:pPr>
      <w:r>
        <w:t xml:space="preserve">3.7 Agents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Live monitor of all eleven agents plus any LLM-proposed extra agents. A checkbox per agent toggles its card on or off; cards show each agent’s role, live state and recent activity, refreshing every two seconds. The objective and functional agents expand into their per-key sub-agents.</w:t>
      </w:r>
    </w:p>
    <w:p>
      <w:pPr>
        <w:pStyle w:val="Heading2"/>
      </w:pPr>
      <w:r>
        <w:t xml:space="preserve">3.8 LLM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Everything about the language model: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Gateway status </w:t>
      </w:r>
      <w:r>
        <w:rPr>
          <w:rFonts w:ascii="Calibri" w:cs="Calibri" w:eastAsia="Calibri" w:hAnsi="Calibri"/>
        </w:rPr>
        <w:t xml:space="preserve">— reachable? which model aliases are available.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Model routing </w:t>
      </w:r>
      <w:r>
        <w:rPr>
          <w:rFonts w:ascii="Calibri" w:cs="Calibri" w:eastAsia="Calibri" w:hAnsi="Calibri"/>
        </w:rPr>
        <w:t xml:space="preserve">— point each agent role (reasoner / fast / vision) at any alias: local Gemma or a frontier provider. A warning shows when a frontier alias is selected.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Console </w:t>
      </w:r>
      <w:r>
        <w:rPr>
          <w:rFonts w:ascii="Calibri" w:cs="Calibri" w:eastAsia="Calibri" w:hAnsi="Calibri"/>
        </w:rPr>
        <w:t xml:space="preserve">— send a prompt to any alias and see the response.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Call log </w:t>
      </w:r>
      <w:r>
        <w:rPr>
          <w:rFonts w:ascii="Calibri" w:cs="Calibri" w:eastAsia="Calibri" w:hAnsi="Calibri"/>
        </w:rPr>
        <w:t xml:space="preserve">— every agent and manual call with prompt, response, latency and source; tick “auto” to stream it live.</w:t>
      </w:r>
    </w:p>
    <w:p>
      <w:pPr>
        <w:pStyle w:val="Heading2"/>
      </w:pPr>
      <w:r>
        <w:t xml:space="preserve">3.9 Debug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Tick Debug in the header, then open this tab for: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Input inspector </w:t>
      </w:r>
      <w:r>
        <w:rPr>
          <w:rFonts w:ascii="Calibri" w:cs="Calibri" w:eastAsia="Calibri" w:hAnsi="Calibri"/>
        </w:rPr>
        <w:t xml:space="preserve">— choose any file from the dropdown and examine it end-to-end: file metadata + stats, spectra plot, raw value-matrix heatmap, world graph, adjacency matrix, H0/H1/H2 persistence diagrams, spectral encode/reconstruct, graph embedding, and the identification + novelty — pictorially and numerically.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Agent / gate / curator / memory panels </w:t>
      </w:r>
      <w:r>
        <w:rPr>
          <w:rFonts w:ascii="Calibri" w:cs="Calibri" w:eastAsia="Calibri" w:hAnsi="Calibri"/>
        </w:rPr>
        <w:t xml:space="preserve">— the same live internals as the Agents tab.</w:t>
      </w:r>
    </w:p>
    <w:p>
      <w:pPr>
        <w:pStyle w:val="Heading1"/>
      </w:pPr>
      <w:r>
        <w:t xml:space="preserve">4. Using a frontier model (DeepSeek / ChatGPT / Claude)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Put the API key in .env (use the matching variable):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DEEPSEEK_API_KEY=sk-...
OPENAI_API_KEY=sk-...
ANTHROPIC_API_KEY=sk-ant-...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Recreate the gateway so it reloads the env (do NOT use “restart”):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up -d --force-recreate litellm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In the LLM tab → Model routing, set the role(s) to the provider alias (malar-deepseek / malar-openai / malar-claude) → Apply.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</w:rPr>
        <w:t xml:space="preserve">Confirm in the LLM console: send a prompt to that alias; you should get a reply, and it appears in the log.</w:t>
      </w:r>
    </w:p>
    <w:p>
      <w:pPr>
        <w:pBdr>
          <w:left w:val="single" w:color="E0A800" w:sz="18" w:space="8"/>
        </w:pBdr>
        <w:shd w:fill="FFF6E5" w:val="clear"/>
        <w:spacing w:after="120" w:before="60"/>
      </w:pPr>
      <w:r>
        <w:rPr>
          <w:b/>
          <w:bCs/>
          <w:color w:val="9A6A00"/>
        </w:rPr>
        <w:t xml:space="preserve">Critical:  </w:t>
      </w:r>
      <w:r>
        <w:rPr>
          <w:color w:val="5A4500"/>
        </w:rPr>
        <w:t xml:space="preserve">“docker compose restart litellm” does NOT reload .env — it reuses the old container with the old (empty) key, so you would keep getting a 401. Always use up -d --force-recreate.</w:t>
      </w:r>
    </w:p>
    <w:p>
      <w:pPr>
        <w:pBdr>
          <w:left w:val="single" w:color="E0A800" w:sz="18" w:space="8"/>
        </w:pBdr>
        <w:shd w:fill="FFF6E5" w:val="clear"/>
        <w:spacing w:after="120" w:before="60"/>
      </w:pPr>
      <w:r>
        <w:rPr>
          <w:b/>
          <w:bCs/>
          <w:color w:val="9A6A00"/>
        </w:rPr>
        <w:t xml:space="preserve">Vision:  </w:t>
      </w:r>
      <w:r>
        <w:rPr>
          <w:color w:val="5A4500"/>
        </w:rPr>
        <w:t xml:space="preserve">DeepSeek’s chat model is not image-capable; keep the vision role on local malar-vision (Gemma 3n) for image inputs.</w:t>
      </w:r>
    </w:p>
    <w:p>
      <w:pPr>
        <w:pStyle w:val="Heading1"/>
      </w:pPr>
      <w:r>
        <w:t xml:space="preserve">5. When do the agents actually call the LLM?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MALAR is metric-first, so the LLM is used sparingly and only when triggered: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Plan with LLM </w:t>
      </w:r>
      <w:r>
        <w:rPr>
          <w:rFonts w:ascii="Calibri" w:cs="Calibri" w:eastAsia="Calibri" w:hAnsi="Calibri"/>
        </w:rPr>
        <w:t xml:space="preserve">(Configure tab) — one planner call per click.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LLM-assist on </w:t>
      </w:r>
      <w:r>
        <w:rPr>
          <w:rFonts w:ascii="Calibri" w:cs="Calibri" w:eastAsia="Calibri" w:hAnsi="Calibri"/>
        </w:rPr>
        <w:t xml:space="preserve">— one identification call per training item.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</w:rPr>
        <w:t xml:space="preserve">Inference on text </w:t>
      </w:r>
      <w:r>
        <w:rPr>
          <w:rFonts w:ascii="Calibri" w:cs="Calibri" w:eastAsia="Calibri" w:hAnsi="Calibri"/>
        </w:rPr>
        <w:t xml:space="preserve">— may call the LLM to parse the question.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If you see no LLM calls, it’s because none of these were triggered (not a bug). Enable LLM-assist or click Plan with LLM, then watch the LLM tab log.</w:t>
      </w:r>
    </w:p>
    <w:p>
      <w:pPr>
        <w:pStyle w:val="Heading1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Gateway “unreachable” in LLM tab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litellm not running, or model not pulled. Run docker compose ps; pull gemma3n:e4b.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call “request timed out”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model still loading on first call (can take ~2 min) or LLM-assist was on. Timeout is 120 s; or untick LLM-assist.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Claude/OpenAI 401 “x-api-key required”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key empty or not loaded. Set it in .env, then up -d --force-recreate litellm.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synthetic data loads (3 classes)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Configured folder not visible in the container or wrong format. Use /app/&lt;folder&gt;; the loader handles multi-column .txt.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Plan button / LLM-assist box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Old web build. Rebuild: docker compose up -d --build webapp; hard-refresh.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GPU not used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GPU only used by Ollama during generation. Check docker compose exec ollama nvidia-smi; e2b is lighter than e4b.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Ports busy (3000/8000/4000/...)</w:t>
            </w:r>
          </w:p>
        </w:tc>
        <w:tc>
          <w:tcPr>
            <w:tcW w:type="dxa" w:w="60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Stop the conflicting app or change the left-hand port in docker-compose.yml.</w:t>
            </w:r>
          </w:p>
        </w:tc>
      </w:tr>
    </w:tbl>
    <w:p>
      <w:pPr>
        <w:pStyle w:val="Heading1"/>
      </w:pPr>
      <w:r>
        <w:t xml:space="preserve">7. Stop / restart</w:t>
      </w:r>
    </w:p>
    <w:p>
      <w:pPr>
        <w:pBdr>
          <w:left w:val="single" w:color="2E5FA3" w:sz="18" w:space="8"/>
        </w:pBdr>
        <w:shd w:fill="F2F4F8" w:val="clear"/>
        <w:spacing w:after="120" w:before="4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logs -f          # watch logs
docker compose down             # stop (keeps data volumes)
docker compose up -d            # start again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See also: </w:t>
      </w:r>
      <w:r>
        <w:rPr>
          <w:rFonts w:ascii="Calibri" w:cs="Calibri" w:eastAsia="Calibri" w:hAnsi="Calibri"/>
        </w:rPr>
        <w:t xml:space="preserve">MALAR_Project_Overview.docx (what MALAR is) and MALAR_MASTER_PLAN_v2.md (the full as-built specification).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MALAR — Web Interface Runbook     ·  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Subtitle">
    <w:name w:val="Subtitle"/>
    <w:basedOn w:val="Normal"/>
    <w:next w:val="Normal"/>
    <w:pPr>
      <w:spacing w:after="300"/>
    </w:pPr>
    <w:rPr>
      <w:rFonts w:ascii="Calibri" w:cs="Calibri" w:eastAsia="Calibri" w:hAnsi="Calibri"/>
      <w:color w:val="2E5FA3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BFC9DA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2026-06-29T17:17:53.442Z</dcterms:created>
  <dcterms:modified xsi:type="dcterms:W3CDTF">2026-06-29T17:17:53.442Z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