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medium where players safely learn about racial out-groups—their stories, beliefs, values, and social norms without concerns about appearing as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(vs. lower) heart rate variability while interacting with a Black character will report lower prejudice and higher support for anti-racism.</w:t>
      </w:r>
    </w:p>
    <w:p>
      <w:pPr>
        <w:pStyle w:val="Textkrper"/>
      </w:pPr>
      <w:r>
        <w:rPr>
          <w:iCs/>
          <w:i/>
        </w:rPr>
        <w:t xml:space="preserve">Keywords:</w:t>
      </w:r>
      <w:r>
        <w:t xml:space="preserve"> </w:t>
      </w:r>
      <w:r>
        <w:t xml:space="preserve">video game, interracial contacts, parasocial relationships, prejudice</w:t>
      </w:r>
    </w:p>
    <w:p>
      <w:pPr>
        <w:pStyle w:val="Textkrper"/>
      </w:pPr>
      <w:r>
        <w:rPr>
          <w:iCs/>
          <w:i/>
        </w:rPr>
        <w:t xml:space="preserve">Word count:</w:t>
      </w:r>
      <w:r>
        <w:t xml:space="preserve"> </w:t>
      </w:r>
      <w:r>
        <w:t xml:space="preserve">1014</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racial outgroup characters,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characters to whom players can form one-sided, emotional relationships–called</w:t>
      </w:r>
      <w:r>
        <w:t xml:space="preserve"> </w:t>
      </w:r>
      <w:r>
        <w:rPr>
          <w:iCs/>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Cs/>
          <w:i/>
        </w:rPr>
        <w:t xml:space="preserve">Mafia III</w:t>
      </w:r>
      <w:r>
        <w:t xml:space="preserve"> </w:t>
      </w:r>
      <w:r>
        <w:t xml:space="preserve">can parasocially interact with Black characters and learn about their lives in the 1960s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reduce prejudice and promote support for anti-racism? Studies on the parasocial contact hypothesis suggested that parasocial interactions with outgroups can reduce prejudice</w:t>
      </w:r>
      <w:r>
        <w:t xml:space="preserve"> </w:t>
      </w:r>
      <w:r>
        <w:t xml:space="preserve">(Banas et al., 2020; Schiappa et al., 2005, 2006)</w:t>
      </w:r>
      <w:r>
        <w:t xml:space="preserve">. In one study, participants played a quest from</w:t>
      </w:r>
      <w:r>
        <w:t xml:space="preserve"> </w:t>
      </w:r>
      <w:r>
        <w:rPr>
          <w:iCs/>
          <w:i/>
        </w:rPr>
        <w:t xml:space="preserve">Skyrim</w:t>
      </w:r>
      <w:r>
        <w:t xml:space="preserve"> </w:t>
      </w:r>
      <w:r>
        <w:t xml:space="preserve">and interacted with a Black character in a virtual reality environment. After playing, participants reported lower prejudice against Black people compared with those who did not interact with a Black character</w:t>
      </w:r>
      <w:r>
        <w:t xml:space="preserve"> </w:t>
      </w:r>
      <w:r>
        <w:t xml:space="preserve">(Banas et al., 2020)</w:t>
      </w:r>
      <w:r>
        <w:t xml:space="preserve">. Lowered prejudice can facilitate more support for anti-racism: people with lower (vs. higher) prejudice towards Black people endorsed the Black Lives Matter movement more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et al.,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et al.,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(vs. lower) heart rate variability regulated their emotions more effectively, indicating an adaptive response of the autonomic nervous system</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in a video game.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theory, I suggest an alternative hypothesis predicting null results—the levels of interracial parasocial interaction do not affect prejudice (Hypothesis 1b) or the support for anti-racism (Hypothesis 2b). Finally, I hypothesize that among White players interacting with a Black character, those with higher (vs. lower) heart rate variability would report less prejudice (Hypothesis 3) and more support for anti-racism (Hypothesis 4).</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Cs/>
          <w:i/>
        </w:rPr>
        <w:t xml:space="preserve">d</w:t>
      </w:r>
      <w:r>
        <w:t xml:space="preserve"> </w:t>
      </w:r>
      <w:r>
        <w:t xml:space="preserve">= 0.36) derived from 18,000+ effect sizes in social psychology</w:t>
      </w:r>
      <w:r>
        <w:t xml:space="preserve"> </w:t>
      </w:r>
      <w:r>
        <w:t xml:space="preserve">(Lovakov &amp; Agadullina, 2021)</w:t>
      </w:r>
      <w:r>
        <w:t xml:space="preserve">. I will also treat this effect size as the smallest effect size of interest to test the alternative hypotheses predicting null</w:t>
      </w:r>
      <w:r>
        <w:t xml:space="preserve"> </w:t>
      </w:r>
      <w:r>
        <w:t xml:space="preserve">(Lakens, 2017)</w:t>
      </w:r>
      <w:r>
        <w:t xml:space="preserve">. To achieve the 90% power, and 5% alpha, I will recruit 492 participants to detect</w:t>
      </w:r>
      <w:r>
        <w:t xml:space="preserve"> </w:t>
      </w:r>
      <w:r>
        <w:rPr>
          <w:iCs/>
          <w:i/>
        </w:rPr>
        <w:t xml:space="preserve">d</w:t>
      </w:r>
      <w:r>
        <w:t xml:space="preserve"> </w:t>
      </w:r>
      <w:r>
        <w:t xml:space="preserve">= 0.36 between groups (164 x 3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and a breathing task for the baseline heart rate variability (Time 1). Then, the participants will play a modded quest from Skyrim adopted from a previous study</w:t>
      </w:r>
      <w:r>
        <w:t xml:space="preserve"> </w:t>
      </w:r>
      <w:r>
        <w:t xml:space="preserve">(Banas et al., 2020)</w:t>
      </w:r>
      <w:r>
        <w:t xml:space="preserve">. I will randomly assign participants to one of the three conditions. In the Interracial Interaction Condition, participants will interact with Black characters to complete the quest. In the No Interracial Interaction Condition, participants will interact with White characters. In the Control Condition, participants will play</w:t>
      </w:r>
      <w:r>
        <w:t xml:space="preserve"> </w:t>
      </w:r>
      <w:r>
        <w:rPr>
          <w:iCs/>
          <w:i/>
        </w:rPr>
        <w:t xml:space="preserve">Portal</w:t>
      </w:r>
      <w:r>
        <w:t xml:space="preserve"> </w:t>
      </w:r>
      <w:r>
        <w:t xml:space="preserve">for the same amount of time. I choose</w:t>
      </w:r>
      <w:r>
        <w:t xml:space="preserve"> </w:t>
      </w:r>
      <w:r>
        <w:rPr>
          <w:iCs/>
          <w:i/>
        </w:rPr>
        <w:t xml:space="preserve">Portal</w:t>
      </w:r>
      <w:r>
        <w:t xml:space="preserve"> </w:t>
      </w:r>
      <w:r>
        <w:t xml:space="preserve">for the control condition since the game shares the first-person perspective as</w:t>
      </w:r>
      <w:r>
        <w:t xml:space="preserve"> </w:t>
      </w:r>
      <w:r>
        <w:rPr>
          <w:iCs/>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w:t>
      </w:r>
      <w:r>
        <w:t xml:space="preserve">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complete a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across the conditions. To examine the moderating effect of heart rate variability across time, I will construct random-slope models predicting prejudice (Hypothesis 3) and anti-racism scores (Hypothesis 4) with the following predictors: Condition, Time, and Condition x Time interaction.</w:t>
      </w:r>
    </w:p>
    <w:p>
      <w:r>
        <w:br w:type="page"/>
      </w:r>
    </w:p>
    <w:bookmarkEnd w:id="26"/>
    <w:bookmarkEnd w:id="27"/>
    <w:bookmarkStart w:id="67" w:name="references"/>
    <w:p>
      <w:pPr>
        <w:pStyle w:val="berschrift1"/>
      </w:pPr>
      <w:r>
        <w:rPr>
          <w:rStyle w:val="SectionNumber"/>
        </w:rPr>
        <w:t xml:space="preserve">2</w:t>
      </w:r>
      <w:r>
        <w:tab/>
      </w:r>
      <w:r>
        <w:t xml:space="preserve">References</w:t>
      </w:r>
    </w:p>
    <w:bookmarkStart w:id="66"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Cs/>
          <w:i/>
        </w:rPr>
        <w:t xml:space="preserve">Review of General Psychology</w:t>
      </w:r>
      <w:r>
        <w:t xml:space="preserve">,</w:t>
      </w:r>
      <w:r>
        <w:t xml:space="preserve"> </w:t>
      </w:r>
      <w:r>
        <w:rPr>
          <w:iCs/>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Cs/>
          <w:i/>
        </w:rPr>
        <w:t xml:space="preserve">Human Communication Research</w:t>
      </w:r>
      <w:r>
        <w:t xml:space="preserve">,</w:t>
      </w:r>
      <w:r>
        <w:t xml:space="preserve"> </w:t>
      </w:r>
      <w:r>
        <w:rPr>
          <w:iCs/>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Cs/>
          <w:i/>
        </w:rPr>
        <w:t xml:space="preserve">PRESENCE: Virtual and Augmented Reality</w:t>
      </w:r>
      <w:r>
        <w:t xml:space="preserve">,</w:t>
      </w:r>
      <w:r>
        <w:t xml:space="preserve"> </w:t>
      </w:r>
      <w:r>
        <w:rPr>
          <w:iCs/>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Cs/>
          <w:i/>
        </w:rPr>
        <w:t xml:space="preserve">Game Studies</w:t>
      </w:r>
      <w:r>
        <w:t xml:space="preserve">,</w:t>
      </w:r>
      <w:r>
        <w:t xml:space="preserve"> </w:t>
      </w:r>
      <w:r>
        <w:rPr>
          <w:iCs/>
          <w:i/>
        </w:rPr>
        <w:t xml:space="preserve">20</w:t>
      </w:r>
      <w:r>
        <w:t xml:space="preserve">(1).</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Cs/>
          <w:i/>
        </w:rPr>
        <w:t xml:space="preserve">Journal of Personality and Social Psychology</w:t>
      </w:r>
      <w:r>
        <w:t xml:space="preserve">,</w:t>
      </w:r>
      <w:r>
        <w:t xml:space="preserve"> </w:t>
      </w:r>
      <w:r>
        <w:rPr>
          <w:iCs/>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Cs/>
          <w:i/>
        </w:rPr>
        <w:t xml:space="preserve">Journal of Social Issues</w:t>
      </w:r>
      <w:r>
        <w:t xml:space="preserve">,</w:t>
      </w:r>
      <w:r>
        <w:t xml:space="preserve"> </w:t>
      </w:r>
      <w:r>
        <w:rPr>
          <w:iCs/>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Cs/>
          <w:i/>
        </w:rPr>
        <w:t xml:space="preserve">Journal of Personality and Social Psychology</w:t>
      </w:r>
      <w:r>
        <w:t xml:space="preserve">,</w:t>
      </w:r>
      <w:r>
        <w:t xml:space="preserve"> </w:t>
      </w:r>
      <w:r>
        <w:rPr>
          <w:iCs/>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Cs/>
          <w:i/>
        </w:rPr>
        <w:t xml:space="preserve">Psychiatry</w:t>
      </w:r>
      <w:r>
        <w:t xml:space="preserve">,</w:t>
      </w:r>
      <w:r>
        <w:t xml:space="preserve"> </w:t>
      </w:r>
      <w:r>
        <w:rPr>
          <w:iCs/>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w:t>
      </w:r>
      <w:r>
        <w:t xml:space="preserve"> </w:t>
      </w:r>
      <w:r>
        <w:rPr>
          <w:iCs/>
          <w:i/>
        </w:rPr>
        <w:t xml:space="preserve">Three</w:t>
      </w:r>
      <w:r>
        <w:rPr>
          <w:iCs/>
          <w:i/>
        </w:rPr>
        <w:t xml:space="preserve"> </w:t>
      </w:r>
      <w:r>
        <w:rPr>
          <w:iCs/>
          <w:i/>
        </w:rPr>
        <w:t xml:space="preserve">Billion People Worldwide Now Play Video Games</w:t>
      </w:r>
      <w:r>
        <w:rPr>
          <w:iCs/>
          <w:i/>
        </w:rPr>
        <w:t xml:space="preserve">,</w:t>
      </w:r>
      <w:r>
        <w:rPr>
          <w:iCs/>
          <w:i/>
        </w:rPr>
        <w:t xml:space="preserve"> </w:t>
      </w:r>
      <w:r>
        <w:rPr>
          <w:iCs/>
          <w:i/>
        </w:rPr>
        <w:t xml:space="preserve">New Report Shows</w:t>
      </w:r>
      <w:r>
        <w:rPr>
          <w:iCs/>
          <w:i/>
        </w:rPr>
        <w:t xml:space="preserve"> </w:t>
      </w:r>
      <w:r>
        <w:rPr>
          <w:iCs/>
          <w:i/>
        </w:rPr>
        <w:t xml:space="preserve">-</w:t>
      </w:r>
      <w:r>
        <w:rPr>
          <w:iCs/>
          <w:i/>
        </w:rPr>
        <w:t xml:space="preserve"> </w:t>
      </w:r>
      <w:r>
        <w:rPr>
          <w:iCs/>
          <w:i/>
        </w:rPr>
        <w:t xml:space="preserve">IGN</w:t>
      </w:r>
      <w:r>
        <w:t xml:space="preserve">.</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Cs/>
          <w:i/>
        </w:rPr>
        <w:t xml:space="preserve">American Journal of Criminal Justice</w:t>
      </w:r>
      <w:r>
        <w:t xml:space="preserve">,</w:t>
      </w:r>
      <w:r>
        <w:t xml:space="preserve"> </w:t>
      </w:r>
      <w:r>
        <w:rPr>
          <w:iCs/>
          <w:i/>
        </w:rPr>
        <w:t xml:space="preserve">46</w:t>
      </w:r>
      <w:r>
        <w:t xml:space="preserve">(2), 377–398.</w:t>
      </w:r>
      <w:r>
        <w:t xml:space="preserve"> </w:t>
      </w:r>
      <w:hyperlink r:id="rId46">
        <w:r>
          <w:rPr>
            <w:rStyle w:val="Hyperlink"/>
          </w:rPr>
          <w:t xml:space="preserve">https://doi.org/10.1007/s12103-020-09561-1</w:t>
        </w:r>
      </w:hyperlink>
    </w:p>
    <w:bookmarkEnd w:id="47"/>
    <w:bookmarkStart w:id="49" w:name="ref-lakensEquivalenceTestsPractical2017"/>
    <w:p>
      <w:pPr>
        <w:pStyle w:val="Literaturverzeichnis"/>
      </w:pPr>
      <w:r>
        <w:t xml:space="preserve">Lakens, D. (2017). Equivalence</w:t>
      </w:r>
      <w:r>
        <w:t xml:space="preserve"> </w:t>
      </w:r>
      <w:r>
        <w:t xml:space="preserve">Tests</w:t>
      </w:r>
      <w:r>
        <w:t xml:space="preserve">:</w:t>
      </w:r>
      <w:r>
        <w:t xml:space="preserve"> </w:t>
      </w:r>
      <w:r>
        <w:t xml:space="preserve">A Practical Primer</w:t>
      </w:r>
      <w:r>
        <w:t xml:space="preserve"> </w:t>
      </w:r>
      <w:r>
        <w:t xml:space="preserve">for 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48">
        <w:r>
          <w:rPr>
            <w:rStyle w:val="Hyperlink"/>
          </w:rPr>
          <w:t xml:space="preserve">https://doi.org/10.1177/1948550617697177</w:t>
        </w:r>
      </w:hyperlink>
    </w:p>
    <w:bookmarkEnd w:id="49"/>
    <w:bookmarkStart w:id="51" w:name="Xd46594b1032e45fbf5e0bddc0a9f7fa9e13971f"/>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n/a</w:t>
      </w:r>
      <w:r>
        <w:t xml:space="preserve">(n/a).</w:t>
      </w:r>
      <w:r>
        <w:t xml:space="preserve"> </w:t>
      </w:r>
      <w:hyperlink r:id="rId50">
        <w:r>
          <w:rPr>
            <w:rStyle w:val="Hyperlink"/>
          </w:rPr>
          <w:t xml:space="preserve">https://doi.org/10.1002/ejsp.2752</w:t>
        </w:r>
      </w:hyperlink>
    </w:p>
    <w:bookmarkEnd w:id="51"/>
    <w:bookmarkStart w:id="53"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Cs/>
          <w:i/>
        </w:rPr>
        <w:t xml:space="preserve">The Journal of Early Adolescence</w:t>
      </w:r>
      <w:r>
        <w:t xml:space="preserve">,</w:t>
      </w:r>
      <w:r>
        <w:t xml:space="preserve"> </w:t>
      </w:r>
      <w:r>
        <w:rPr>
          <w:iCs/>
          <w:i/>
        </w:rPr>
        <w:t xml:space="preserve">33</w:t>
      </w:r>
      <w:r>
        <w:t xml:space="preserve">(7), 897–919.</w:t>
      </w:r>
      <w:r>
        <w:t xml:space="preserve"> </w:t>
      </w:r>
      <w:hyperlink r:id="rId52">
        <w:r>
          <w:rPr>
            <w:rStyle w:val="Hyperlink"/>
          </w:rPr>
          <w:t xml:space="preserve">https://doi.org/10.1177/0272431612472259</w:t>
        </w:r>
      </w:hyperlink>
    </w:p>
    <w:bookmarkEnd w:id="53"/>
    <w:bookmarkStart w:id="55"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Cs/>
          <w:i/>
        </w:rPr>
        <w:t xml:space="preserve">European Journal of Social Psychology</w:t>
      </w:r>
      <w:r>
        <w:t xml:space="preserve">,</w:t>
      </w:r>
      <w:r>
        <w:t xml:space="preserve"> </w:t>
      </w:r>
      <w:r>
        <w:rPr>
          <w:iCs/>
          <w:i/>
        </w:rPr>
        <w:t xml:space="preserve">25</w:t>
      </w:r>
      <w:r>
        <w:t xml:space="preserve">(1), 57–75.</w:t>
      </w:r>
      <w:r>
        <w:t xml:space="preserve"> </w:t>
      </w:r>
      <w:hyperlink r:id="rId54">
        <w:r>
          <w:rPr>
            <w:rStyle w:val="Hyperlink"/>
          </w:rPr>
          <w:t xml:space="preserve">https://doi.org/10.1002/ejsp.2420250106</w:t>
        </w:r>
      </w:hyperlink>
    </w:p>
    <w:bookmarkEnd w:id="55"/>
    <w:bookmarkStart w:id="57"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Cs/>
          <w:i/>
        </w:rPr>
        <w:t xml:space="preserve">Communication Monographs</w:t>
      </w:r>
      <w:r>
        <w:t xml:space="preserve">,</w:t>
      </w:r>
      <w:r>
        <w:t xml:space="preserve"> </w:t>
      </w:r>
      <w:r>
        <w:rPr>
          <w:iCs/>
          <w:i/>
        </w:rPr>
        <w:t xml:space="preserve">72</w:t>
      </w:r>
      <w:r>
        <w:t xml:space="preserve">(1), 92–115.</w:t>
      </w:r>
      <w:r>
        <w:t xml:space="preserve"> </w:t>
      </w:r>
      <w:hyperlink r:id="rId56">
        <w:r>
          <w:rPr>
            <w:rStyle w:val="Hyperlink"/>
          </w:rPr>
          <w:t xml:space="preserve">https://doi.org/10.1080/0363775052000342544</w:t>
        </w:r>
      </w:hyperlink>
    </w:p>
    <w:bookmarkEnd w:id="57"/>
    <w:bookmarkStart w:id="59"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Cs/>
          <w:i/>
        </w:rPr>
        <w:t xml:space="preserve">Journal of Homosexuality</w:t>
      </w:r>
      <w:r>
        <w:t xml:space="preserve">,</w:t>
      </w:r>
      <w:r>
        <w:t xml:space="preserve"> </w:t>
      </w:r>
      <w:r>
        <w:rPr>
          <w:iCs/>
          <w:i/>
        </w:rPr>
        <w:t xml:space="preserve">51</w:t>
      </w:r>
      <w:r>
        <w:t xml:space="preserve">(4), 15–37.</w:t>
      </w:r>
      <w:r>
        <w:t xml:space="preserve"> </w:t>
      </w:r>
      <w:hyperlink r:id="rId58">
        <w:r>
          <w:rPr>
            <w:rStyle w:val="Hyperlink"/>
          </w:rPr>
          <w:t xml:space="preserve">https://doi.org/10.1300/J082v51n04_02</w:t>
        </w:r>
      </w:hyperlink>
    </w:p>
    <w:bookmarkEnd w:id="59"/>
    <w:bookmarkStart w:id="61" w:name="ref-statistaHoursSpentPlaying2021"/>
    <w:p>
      <w:pPr>
        <w:pStyle w:val="Literaturverzeichnis"/>
      </w:pPr>
      <w:r>
        <w:t xml:space="preserve">Statista. (2021, April).</w:t>
      </w:r>
      <w:r>
        <w:t xml:space="preserve"> </w:t>
      </w:r>
      <w:r>
        <w:rPr>
          <w:iCs/>
          <w:i/>
        </w:rPr>
        <w:t xml:space="preserve">Hours spent on playing video games per week in the</w:t>
      </w:r>
      <w:r>
        <w:rPr>
          <w:iCs/>
          <w:i/>
        </w:rPr>
        <w:t xml:space="preserve"> </w:t>
      </w:r>
      <w:r>
        <w:rPr>
          <w:iCs/>
          <w:i/>
        </w:rPr>
        <w:t xml:space="preserve">Netherlands</w:t>
      </w:r>
      <w:r>
        <w:rPr>
          <w:iCs/>
          <w:i/>
        </w:rPr>
        <w:t xml:space="preserve"> </w:t>
      </w:r>
      <w:r>
        <w:rPr>
          <w:iCs/>
          <w:i/>
        </w:rPr>
        <w:t xml:space="preserve">2020</w:t>
      </w:r>
      <w:r>
        <w:t xml:space="preserve">.</w:t>
      </w:r>
      <w:r>
        <w:t xml:space="preserve"> </w:t>
      </w:r>
      <w:r>
        <w:t xml:space="preserve">Statista</w:t>
      </w:r>
      <w:r>
        <w:t xml:space="preserve">.</w:t>
      </w:r>
      <w:r>
        <w:t xml:space="preserve"> </w:t>
      </w:r>
      <w:hyperlink r:id="rId60">
        <w:r>
          <w:rPr>
            <w:rStyle w:val="Hyperlink"/>
          </w:rPr>
          <w:t xml:space="preserve">https://www-statista-com.udel.idm.oclc.org/forecasts/1226826/hours-spent-on-playing-video-games-per-week-in-the-netherlands</w:t>
        </w:r>
      </w:hyperlink>
    </w:p>
    <w:bookmarkEnd w:id="61"/>
    <w:bookmarkStart w:id="63"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Cs/>
          <w:i/>
        </w:rPr>
        <w:t xml:space="preserve">Group Processes &amp; Intergroup Relations</w:t>
      </w:r>
      <w:r>
        <w:t xml:space="preserve">,</w:t>
      </w:r>
      <w:r>
        <w:t xml:space="preserve"> </w:t>
      </w:r>
      <w:r>
        <w:rPr>
          <w:iCs/>
          <w:i/>
        </w:rPr>
        <w:t xml:space="preserve">22</w:t>
      </w:r>
      <w:r>
        <w:t xml:space="preserve">(1), 43–56.</w:t>
      </w:r>
      <w:r>
        <w:t xml:space="preserve"> </w:t>
      </w:r>
      <w:hyperlink r:id="rId62">
        <w:r>
          <w:rPr>
            <w:rStyle w:val="Hyperlink"/>
          </w:rPr>
          <w:t xml:space="preserve">https://doi.org/10.1177/1368430217706182</w:t>
        </w:r>
      </w:hyperlink>
    </w:p>
    <w:bookmarkEnd w:id="63"/>
    <w:bookmarkStart w:id="65" w:name="X6f0587faa38f5b0837b8ca22422a1e14530f88f"/>
    <w:p>
      <w:pPr>
        <w:pStyle w:val="Literaturverzeichnis"/>
      </w:pPr>
      <w:r>
        <w:t xml:space="preserve">Tyack, A., &amp; Wyeth, P. (2017). Exploring relatedness in single-player video game play.</w:t>
      </w:r>
      <w:r>
        <w:t xml:space="preserve"> </w:t>
      </w:r>
      <w:r>
        <w:rPr>
          <w:iCs/>
          <w:i/>
        </w:rPr>
        <w:t xml:space="preserve">Proceedings of the 29th</w:t>
      </w:r>
      <w:r>
        <w:rPr>
          <w:iCs/>
          <w:i/>
        </w:rPr>
        <w:t xml:space="preserve"> </w:t>
      </w:r>
      <w:r>
        <w:rPr>
          <w:iCs/>
          <w:i/>
        </w:rPr>
        <w:t xml:space="preserve">Australian Conference</w:t>
      </w:r>
      <w:r>
        <w:rPr>
          <w:iCs/>
          <w:i/>
        </w:rPr>
        <w:t xml:space="preserve"> </w:t>
      </w:r>
      <w:r>
        <w:rPr>
          <w:iCs/>
          <w:i/>
        </w:rPr>
        <w:t xml:space="preserve">on</w:t>
      </w:r>
      <w:r>
        <w:rPr>
          <w:iCs/>
          <w:i/>
        </w:rPr>
        <w:t xml:space="preserve"> </w:t>
      </w:r>
      <w:r>
        <w:rPr>
          <w:iCs/>
          <w:i/>
        </w:rPr>
        <w:t xml:space="preserve">Computer</w:t>
      </w:r>
      <w:r>
        <w:rPr>
          <w:iCs/>
          <w:i/>
        </w:rPr>
        <w:t xml:space="preserve">-</w:t>
      </w:r>
      <w:r>
        <w:rPr>
          <w:iCs/>
          <w:i/>
        </w:rPr>
        <w:t xml:space="preserve">Human Interaction</w:t>
      </w:r>
      <w:r>
        <w:t xml:space="preserve">, 422–427.</w:t>
      </w:r>
      <w:r>
        <w:t xml:space="preserve"> </w:t>
      </w:r>
      <w:hyperlink r:id="rId64">
        <w:r>
          <w:rPr>
            <w:rStyle w:val="Hyperlink"/>
          </w:rPr>
          <w:t xml:space="preserve">https://doi.org/10.1145/3152771.3156149</w:t>
        </w:r>
      </w:hyperlink>
    </w:p>
    <w:bookmarkEnd w:id="65"/>
    <w:bookmarkEnd w:id="66"/>
    <w:bookmarkEnd w:id="6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2022-02-10T22:30:14Z</dcterms:created>
  <dcterms:modified xsi:type="dcterms:W3CDTF">2022-02-10T22:30:14Z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apa.csl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1014</vt:lpwstr>
  </property>
</Properties>
</file>