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w22xg29v94nh" w:id="0"/>
      <w:bookmarkEnd w:id="0"/>
      <w:r w:rsidDel="00000000" w:rsidR="00000000" w:rsidRPr="00000000">
        <w:rPr>
          <w:rtl w:val="0"/>
        </w:rPr>
        <w:t xml:space="preserve">Week 2 - Movement, Looks, and Timing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Exercise is on Page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several ways to move a sprite in Scratch. Here are some of the main ones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5430"/>
        <w:tblGridChange w:id="0">
          <w:tblGrid>
            <w:gridCol w:w="3930"/>
            <w:gridCol w:w="54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Absolute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19238" cy="545498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238" cy="5454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move sprite to x, y </w:t>
            </w:r>
            <w:r w:rsidDel="00000000" w:rsidR="00000000" w:rsidRPr="00000000">
              <w:rPr/>
              <w:drawing>
                <wp:inline distB="114300" distT="114300" distL="114300" distR="114300">
                  <wp:extent cx="948882" cy="692835"/>
                  <wp:effectExtent b="0" l="0" r="0" t="0"/>
                  <wp:docPr id="2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882" cy="692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52104" cy="494224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104" cy="4942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Smoothly move sprite to x, y in a certain amount of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4938" cy="407349"/>
                  <wp:effectExtent b="0" l="0" r="0" t="0"/>
                  <wp:docPr id="1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4073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24063" cy="443873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63" cy="4438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Immediately go to particular x, y positions. Options include “random”, “mouse pointer”, and other sprites’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3950" cy="813603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51246" l="0" r="28049" t="4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3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123950" cy="853272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4357" l="0" r="28049" t="49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532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 x or y by the specified amount (note that you can change by a negative number)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 set JUST the x/y value to a particular value (also can be negative)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Turning and Relative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28713" cy="435488"/>
                  <wp:effectExtent b="0" l="0" r="0" t="0"/>
                  <wp:docPr id="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713" cy="4354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 the sprite in a particular direction. -90 is also 270. 0 is also 360 cuz it’s, like, a circle ya know?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6288" cy="646906"/>
                  <wp:effectExtent b="0" l="0" r="0" t="0"/>
                  <wp:docPr id="2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288" cy="646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1588" cy="83678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836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Turn the sprite clockwise or counter-clockwise by a particular amount.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85838" cy="418981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838" cy="418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Move the sprite some amount in whatever direction it’s currently facing. 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5085"/>
        <w:tblGridChange w:id="0">
          <w:tblGrid>
            <w:gridCol w:w="427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466" cy="793575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66" cy="79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Make the sprite appear or disappear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95438" cy="1444518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438" cy="14445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the Sprite say or think something, either for a lit tle while or forever.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9663" cy="786701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663" cy="7867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270964" cy="803923"/>
                  <wp:effectExtent b="0" l="0" r="0" t="0"/>
                  <wp:docPr id="1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964" cy="803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Grow or shrink the sprite. Or change the sprite in other crazy ways (colors! pixelate! whirl!).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9750" cy="799161"/>
                  <wp:effectExtent b="0" l="0" r="0" t="0"/>
                  <wp:docPr id="2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4915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7991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the sprite’s costume. These are set up in a different tab once you have the sprite selected. This can be useful for creating animated sprites.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1613" cy="1082566"/>
                  <wp:effectExtent b="0" l="0" r="0" t="0"/>
                  <wp:docPr id="1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613" cy="10825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/>
              <w:drawing>
                <wp:inline distB="114300" distT="114300" distL="114300" distR="114300">
                  <wp:extent cx="1338263" cy="641084"/>
                  <wp:effectExtent b="0" l="0" r="0" t="0"/>
                  <wp:docPr id="9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263" cy="641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9750" cy="818552"/>
                  <wp:effectExtent b="0" l="0" r="0" t="0"/>
                  <wp:docPr id="1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47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818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the background. These are set up in a different tab once you select “Stage” in the lower right.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38313" cy="1226525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13" cy="122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595313" cy="1121694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11216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5085"/>
        <w:tblGridChange w:id="0">
          <w:tblGrid>
            <w:gridCol w:w="4275"/>
            <w:gridCol w:w="5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Events and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09613" cy="309751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613" cy="309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Events control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everything </w:t>
            </w:r>
            <w:r w:rsidDel="00000000" w:rsidR="00000000" w:rsidRPr="00000000">
              <w:rPr>
                <w:rtl w:val="0"/>
              </w:rPr>
              <w:t xml:space="preserve">in Scratch.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Nothing</w:t>
            </w:r>
            <w:r w:rsidDel="00000000" w:rsidR="00000000" w:rsidRPr="00000000">
              <w:rPr>
                <w:rtl w:val="0"/>
              </w:rPr>
              <w:t xml:space="preserve"> happens without an event. The “when flag clicked” event determines what happens when the game/animation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95338" cy="305899"/>
                  <wp:effectExtent b="0" l="0" r="0" t="0"/>
                  <wp:docPr id="8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338" cy="3058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most basic form of control in Scratch is just pausing the program for some amount of time.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urni1apzp5m" w:id="1"/>
      <w:bookmarkEnd w:id="1"/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35">
      <w:pPr>
        <w:ind w:firstLine="18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an “animated short” that …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story that “makes sense”--all of the following should be part of the story somehow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at least two sprites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at least one noticeable costume change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Includes at least one background change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Involves dialogue between the two sprites (things they say or think should stay on the screen long enough to be read, and not much longer)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suddenly appear at a particular location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disappear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glide from one part of the screen to another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suddenly “teleport” from one place to another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spin around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5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Has a sprite change size and/or another aspect of appearance (color, effects) and then change back to normal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1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16.png"/><Relationship Id="rId12" Type="http://schemas.openxmlformats.org/officeDocument/2006/relationships/image" Target="media/image15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19" Type="http://schemas.openxmlformats.org/officeDocument/2006/relationships/image" Target="media/image9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